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50" w:rsidRPr="00C2587E" w:rsidRDefault="00757950" w:rsidP="00757950">
      <w:pPr>
        <w:rPr>
          <w:b/>
          <w:color w:val="000000"/>
          <w:u w:val="single"/>
        </w:rPr>
      </w:pPr>
      <w:r>
        <w:rPr>
          <w:b/>
          <w:color w:val="000000"/>
          <w:u w:val="single"/>
        </w:rPr>
        <w:t>EU FITO PROJECT R</w:t>
      </w:r>
      <w:r w:rsidRPr="00C2587E">
        <w:rPr>
          <w:b/>
          <w:color w:val="000000"/>
          <w:u w:val="single"/>
        </w:rPr>
        <w:t xml:space="preserve">ESULTS </w:t>
      </w:r>
      <w:r>
        <w:rPr>
          <w:b/>
          <w:color w:val="000000"/>
          <w:u w:val="single"/>
        </w:rPr>
        <w:t>/ OUTPUTS</w:t>
      </w:r>
      <w:bookmarkStart w:id="0" w:name="_GoBack"/>
      <w:bookmarkEnd w:id="0"/>
    </w:p>
    <w:p w:rsidR="00757950" w:rsidRDefault="00757950" w:rsidP="00757950">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4699"/>
        <w:gridCol w:w="3348"/>
        <w:gridCol w:w="28"/>
        <w:gridCol w:w="3118"/>
        <w:gridCol w:w="2345"/>
      </w:tblGrid>
      <w:tr w:rsidR="00757950" w:rsidRPr="00D35C49" w:rsidTr="007229DD">
        <w:trPr>
          <w:trHeight w:val="827"/>
        </w:trPr>
        <w:tc>
          <w:tcPr>
            <w:tcW w:w="601" w:type="pct"/>
            <w:shd w:val="clear" w:color="auto" w:fill="E6E6E6"/>
            <w:vAlign w:val="center"/>
          </w:tcPr>
          <w:p w:rsidR="00757950" w:rsidRPr="00D35C49" w:rsidRDefault="00757950" w:rsidP="007229DD">
            <w:pPr>
              <w:ind w:right="254"/>
              <w:jc w:val="center"/>
              <w:rPr>
                <w:b/>
              </w:rPr>
            </w:pPr>
          </w:p>
        </w:tc>
        <w:tc>
          <w:tcPr>
            <w:tcW w:w="1527" w:type="pct"/>
            <w:shd w:val="clear" w:color="auto" w:fill="E6E6E6"/>
            <w:vAlign w:val="center"/>
          </w:tcPr>
          <w:p w:rsidR="00757950" w:rsidRPr="00D35C49" w:rsidRDefault="00757950" w:rsidP="007229DD">
            <w:pPr>
              <w:ind w:right="254"/>
              <w:jc w:val="center"/>
              <w:rPr>
                <w:b/>
              </w:rPr>
            </w:pPr>
            <w:r w:rsidRPr="00D35C49">
              <w:rPr>
                <w:b/>
              </w:rPr>
              <w:t>Intervention logic</w:t>
            </w:r>
          </w:p>
        </w:tc>
        <w:tc>
          <w:tcPr>
            <w:tcW w:w="1088" w:type="pct"/>
            <w:shd w:val="clear" w:color="auto" w:fill="E6E6E6"/>
            <w:vAlign w:val="center"/>
          </w:tcPr>
          <w:p w:rsidR="00757950" w:rsidRPr="00D35C49" w:rsidRDefault="00757950" w:rsidP="007229DD">
            <w:pPr>
              <w:ind w:right="254"/>
              <w:jc w:val="center"/>
              <w:rPr>
                <w:b/>
              </w:rPr>
            </w:pPr>
            <w:r w:rsidRPr="00D35C49">
              <w:rPr>
                <w:b/>
              </w:rPr>
              <w:t>Benchmarks</w:t>
            </w:r>
          </w:p>
        </w:tc>
        <w:tc>
          <w:tcPr>
            <w:tcW w:w="1022" w:type="pct"/>
            <w:gridSpan w:val="2"/>
            <w:shd w:val="clear" w:color="auto" w:fill="E6E6E6"/>
            <w:vAlign w:val="center"/>
          </w:tcPr>
          <w:p w:rsidR="00757950" w:rsidRPr="00D35C49" w:rsidRDefault="00757950" w:rsidP="007229DD">
            <w:pPr>
              <w:ind w:right="254"/>
              <w:jc w:val="center"/>
              <w:rPr>
                <w:b/>
              </w:rPr>
            </w:pPr>
            <w:r w:rsidRPr="00D35C49">
              <w:rPr>
                <w:b/>
              </w:rPr>
              <w:t>Sources of information</w:t>
            </w:r>
          </w:p>
        </w:tc>
        <w:tc>
          <w:tcPr>
            <w:tcW w:w="762" w:type="pct"/>
            <w:shd w:val="clear" w:color="auto" w:fill="E6E6E6"/>
            <w:vAlign w:val="center"/>
          </w:tcPr>
          <w:p w:rsidR="00757950" w:rsidRPr="00D35C49" w:rsidRDefault="00757950" w:rsidP="007229DD">
            <w:pPr>
              <w:ind w:right="254"/>
              <w:jc w:val="center"/>
              <w:rPr>
                <w:b/>
              </w:rPr>
            </w:pPr>
            <w:r w:rsidRPr="00D35C49">
              <w:rPr>
                <w:b/>
              </w:rPr>
              <w:t>Assumptions</w:t>
            </w:r>
          </w:p>
          <w:p w:rsidR="00757950" w:rsidRPr="00D35C49" w:rsidRDefault="00757950" w:rsidP="007229DD">
            <w:pPr>
              <w:ind w:right="254"/>
              <w:jc w:val="center"/>
              <w:rPr>
                <w:b/>
              </w:rPr>
            </w:pPr>
            <w:r w:rsidRPr="00D35C49">
              <w:rPr>
                <w:b/>
              </w:rPr>
              <w:t>(external to project)</w:t>
            </w:r>
          </w:p>
        </w:tc>
      </w:tr>
      <w:tr w:rsidR="00757950" w:rsidRPr="00D35C49" w:rsidTr="007229DD">
        <w:tblPrEx>
          <w:tblLook w:val="0000" w:firstRow="0" w:lastRow="0" w:firstColumn="0" w:lastColumn="0" w:noHBand="0" w:noVBand="0"/>
        </w:tblPrEx>
        <w:tc>
          <w:tcPr>
            <w:tcW w:w="601" w:type="pct"/>
            <w:vAlign w:val="center"/>
          </w:tcPr>
          <w:p w:rsidR="00757950" w:rsidRPr="00D35C49" w:rsidRDefault="00757950" w:rsidP="007229DD">
            <w:pPr>
              <w:jc w:val="center"/>
              <w:rPr>
                <w:b/>
                <w:color w:val="000000"/>
              </w:rPr>
            </w:pPr>
            <w:r w:rsidRPr="00D35C49">
              <w:rPr>
                <w:b/>
                <w:color w:val="000000"/>
              </w:rPr>
              <w:t>Overall Objective</w:t>
            </w:r>
          </w:p>
        </w:tc>
        <w:tc>
          <w:tcPr>
            <w:tcW w:w="1527" w:type="pct"/>
          </w:tcPr>
          <w:p w:rsidR="00757950" w:rsidRPr="00D35C49" w:rsidRDefault="00757950" w:rsidP="007229DD">
            <w:pPr>
              <w:spacing w:before="120"/>
              <w:rPr>
                <w:i/>
                <w:color w:val="000000"/>
              </w:rPr>
            </w:pPr>
            <w:r w:rsidRPr="00D35C49">
              <w:t xml:space="preserve">Development of a sustainable phytosanitary sector in Bosnia and Herzegovina, and its gradual alignment with the </w:t>
            </w:r>
            <w:r w:rsidRPr="00D35C49">
              <w:rPr>
                <w:i/>
                <w:iCs/>
              </w:rPr>
              <w:t xml:space="preserve">acquis </w:t>
            </w:r>
            <w:r w:rsidRPr="00D35C49">
              <w:t>institutional and regulatory requirements and standards.</w:t>
            </w:r>
          </w:p>
        </w:tc>
        <w:tc>
          <w:tcPr>
            <w:tcW w:w="1097" w:type="pct"/>
            <w:gridSpan w:val="2"/>
          </w:tcPr>
          <w:p w:rsidR="00757950" w:rsidRPr="00D35C49" w:rsidRDefault="00757950" w:rsidP="007229DD">
            <w:pPr>
              <w:spacing w:before="120"/>
              <w:rPr>
                <w:i/>
                <w:color w:val="000000"/>
              </w:rPr>
            </w:pPr>
            <w:r w:rsidRPr="00D35C49">
              <w:t>Relevant EU phytosanitary and connected agricultural legislation are matched by BiH legislation</w:t>
            </w:r>
          </w:p>
        </w:tc>
        <w:tc>
          <w:tcPr>
            <w:tcW w:w="1013" w:type="pct"/>
          </w:tcPr>
          <w:p w:rsidR="00757950" w:rsidRPr="00D35C49" w:rsidRDefault="00757950" w:rsidP="00757950">
            <w:pPr>
              <w:numPr>
                <w:ilvl w:val="0"/>
                <w:numId w:val="1"/>
              </w:numPr>
              <w:spacing w:before="120" w:after="0" w:line="240" w:lineRule="auto"/>
              <w:ind w:left="175" w:hanging="185"/>
              <w:rPr>
                <w:color w:val="000000"/>
              </w:rPr>
            </w:pPr>
            <w:r w:rsidRPr="00D35C49">
              <w:rPr>
                <w:i/>
                <w:color w:val="000000"/>
              </w:rPr>
              <w:t xml:space="preserve"> </w:t>
            </w:r>
            <w:r w:rsidRPr="00D35C49">
              <w:t>Official Gazette of BiH</w:t>
            </w:r>
          </w:p>
          <w:p w:rsidR="00757950" w:rsidRPr="00D35C49" w:rsidRDefault="00757950" w:rsidP="00757950">
            <w:pPr>
              <w:numPr>
                <w:ilvl w:val="0"/>
                <w:numId w:val="1"/>
              </w:numPr>
              <w:spacing w:before="120" w:after="0" w:line="240" w:lineRule="auto"/>
              <w:ind w:left="175" w:hanging="185"/>
              <w:rPr>
                <w:color w:val="000000"/>
              </w:rPr>
            </w:pPr>
            <w:r w:rsidRPr="00D35C49">
              <w:rPr>
                <w:color w:val="000000"/>
              </w:rPr>
              <w:t xml:space="preserve"> EU appraisal of the BiH legislation and implementation capacity</w:t>
            </w:r>
          </w:p>
          <w:p w:rsidR="00757950" w:rsidRPr="00D35C49" w:rsidRDefault="00757950" w:rsidP="007229DD">
            <w:pPr>
              <w:spacing w:before="120"/>
              <w:ind w:left="175"/>
              <w:rPr>
                <w:color w:val="000000"/>
              </w:rPr>
            </w:pPr>
          </w:p>
        </w:tc>
        <w:tc>
          <w:tcPr>
            <w:tcW w:w="762" w:type="pct"/>
            <w:shd w:val="pct10" w:color="auto" w:fill="FFFFFF"/>
          </w:tcPr>
          <w:p w:rsidR="00757950" w:rsidRPr="00D35C49" w:rsidRDefault="00757950" w:rsidP="007229DD">
            <w:pPr>
              <w:rPr>
                <w:color w:val="000000"/>
              </w:rPr>
            </w:pPr>
          </w:p>
        </w:tc>
      </w:tr>
      <w:tr w:rsidR="00757950" w:rsidRPr="00D35C49" w:rsidTr="007229DD">
        <w:tblPrEx>
          <w:tblLook w:val="0000" w:firstRow="0" w:lastRow="0" w:firstColumn="0" w:lastColumn="0" w:noHBand="0" w:noVBand="0"/>
        </w:tblPrEx>
        <w:tc>
          <w:tcPr>
            <w:tcW w:w="601" w:type="pct"/>
            <w:tcBorders>
              <w:bottom w:val="single" w:sz="4" w:space="0" w:color="auto"/>
            </w:tcBorders>
            <w:vAlign w:val="center"/>
          </w:tcPr>
          <w:p w:rsidR="00757950" w:rsidRPr="00D35C49" w:rsidRDefault="00757950" w:rsidP="007229DD">
            <w:pPr>
              <w:jc w:val="center"/>
              <w:rPr>
                <w:b/>
                <w:color w:val="000000"/>
              </w:rPr>
            </w:pPr>
            <w:r w:rsidRPr="00D35C49">
              <w:rPr>
                <w:b/>
                <w:color w:val="000000"/>
              </w:rPr>
              <w:t>Project Purpose</w:t>
            </w:r>
          </w:p>
        </w:tc>
        <w:tc>
          <w:tcPr>
            <w:tcW w:w="1527" w:type="pct"/>
          </w:tcPr>
          <w:p w:rsidR="00757950" w:rsidRPr="00D35C49" w:rsidRDefault="00757950" w:rsidP="007229DD">
            <w:pPr>
              <w:spacing w:before="120"/>
              <w:rPr>
                <w:i/>
                <w:color w:val="000000"/>
              </w:rPr>
            </w:pPr>
            <w:r w:rsidRPr="00D35C49">
              <w:t xml:space="preserve"> To enable phytosanitary services to create and implement BIH plant health regime, seed and propagating material policy, plant breeders' rights and plant protection products management in line with </w:t>
            </w:r>
            <w:r w:rsidRPr="00D35C49">
              <w:rPr>
                <w:i/>
                <w:iCs/>
              </w:rPr>
              <w:t xml:space="preserve">acquis </w:t>
            </w:r>
            <w:r w:rsidRPr="00D35C49">
              <w:t>harmonised legislation and international obligations and standards in this area.</w:t>
            </w:r>
          </w:p>
        </w:tc>
        <w:tc>
          <w:tcPr>
            <w:tcW w:w="1097" w:type="pct"/>
            <w:gridSpan w:val="2"/>
          </w:tcPr>
          <w:p w:rsidR="00757950" w:rsidRPr="00D35C49" w:rsidRDefault="00757950" w:rsidP="00757950">
            <w:pPr>
              <w:numPr>
                <w:ilvl w:val="0"/>
                <w:numId w:val="2"/>
              </w:numPr>
              <w:tabs>
                <w:tab w:val="left" w:pos="317"/>
              </w:tabs>
              <w:spacing w:before="120" w:after="0" w:line="240" w:lineRule="auto"/>
              <w:ind w:left="34" w:hanging="10"/>
            </w:pPr>
            <w:r w:rsidRPr="00D35C49">
              <w:t xml:space="preserve">The necessary by-laws and tertiary legislation is established in compliance to the EU Acquis and international standards </w:t>
            </w:r>
          </w:p>
          <w:p w:rsidR="00757950" w:rsidRPr="00D35C49" w:rsidRDefault="00757950" w:rsidP="00757950">
            <w:pPr>
              <w:numPr>
                <w:ilvl w:val="0"/>
                <w:numId w:val="2"/>
              </w:numPr>
              <w:tabs>
                <w:tab w:val="left" w:pos="310"/>
              </w:tabs>
              <w:spacing w:before="120" w:after="0" w:line="240" w:lineRule="auto"/>
              <w:ind w:left="34" w:hanging="10"/>
              <w:rPr>
                <w:color w:val="000000"/>
              </w:rPr>
            </w:pPr>
            <w:r w:rsidRPr="00D35C49">
              <w:t xml:space="preserve">Competent authorities roles and capacities in the areas concerned by the Project are upgraded </w:t>
            </w:r>
          </w:p>
          <w:p w:rsidR="00757950" w:rsidRPr="00D35C49" w:rsidRDefault="00757950" w:rsidP="00757950">
            <w:pPr>
              <w:numPr>
                <w:ilvl w:val="0"/>
                <w:numId w:val="2"/>
              </w:numPr>
              <w:tabs>
                <w:tab w:val="left" w:pos="295"/>
              </w:tabs>
              <w:spacing w:before="120" w:after="0" w:line="240" w:lineRule="auto"/>
              <w:ind w:left="34" w:hanging="10"/>
              <w:rPr>
                <w:color w:val="000000"/>
              </w:rPr>
            </w:pPr>
            <w:r w:rsidRPr="00D35C49">
              <w:t>Phytosanitary services are prepared to apply EU standard control procedures</w:t>
            </w:r>
          </w:p>
        </w:tc>
        <w:tc>
          <w:tcPr>
            <w:tcW w:w="1013" w:type="pct"/>
          </w:tcPr>
          <w:p w:rsidR="00757950" w:rsidRPr="00D35C49" w:rsidRDefault="00757950" w:rsidP="007229DD">
            <w:pPr>
              <w:spacing w:before="120"/>
              <w:rPr>
                <w:color w:val="000000"/>
              </w:rPr>
            </w:pPr>
            <w:r w:rsidRPr="00D35C49">
              <w:t xml:space="preserve">Final report. </w:t>
            </w:r>
          </w:p>
        </w:tc>
        <w:tc>
          <w:tcPr>
            <w:tcW w:w="762" w:type="pct"/>
          </w:tcPr>
          <w:p w:rsidR="00757950" w:rsidRPr="00D35C49" w:rsidRDefault="00757950" w:rsidP="007229DD">
            <w:pPr>
              <w:spacing w:before="120"/>
              <w:ind w:left="56"/>
            </w:pPr>
            <w:r w:rsidRPr="00D35C49">
              <w:t>1. Appropriate government</w:t>
            </w:r>
            <w:r>
              <w:t xml:space="preserve">, entities and Brcko District </w:t>
            </w:r>
            <w:r w:rsidRPr="00D35C49">
              <w:t>decisions</w:t>
            </w:r>
            <w:r>
              <w:t xml:space="preserve"> </w:t>
            </w:r>
            <w:r w:rsidRPr="00D35C49">
              <w:t xml:space="preserve">concerning the set-up of necessary authorities </w:t>
            </w:r>
            <w:r>
              <w:t xml:space="preserve">or entitling the current institutions (e.g. Inspectorates, Institutes) to carry on the specific obligations deriving from the legal provisions developed by project activities </w:t>
            </w:r>
          </w:p>
          <w:p w:rsidR="00757950" w:rsidRPr="00D35C49" w:rsidRDefault="00757950" w:rsidP="007229DD">
            <w:pPr>
              <w:spacing w:before="120"/>
              <w:ind w:left="56"/>
            </w:pPr>
            <w:r w:rsidRPr="00D35C49">
              <w:t xml:space="preserve">2. Full collaboration among different institutions in establishing and implementing the </w:t>
            </w:r>
            <w:r w:rsidRPr="00D35C49">
              <w:lastRenderedPageBreak/>
              <w:t xml:space="preserve">phytosanitary  inspection system  </w:t>
            </w:r>
          </w:p>
        </w:tc>
      </w:tr>
      <w:tr w:rsidR="00757950" w:rsidRPr="00D35C49" w:rsidTr="007229DD">
        <w:tc>
          <w:tcPr>
            <w:tcW w:w="601" w:type="pct"/>
            <w:shd w:val="clear" w:color="auto" w:fill="auto"/>
            <w:vAlign w:val="center"/>
          </w:tcPr>
          <w:p w:rsidR="00757950" w:rsidRPr="00D35C49" w:rsidRDefault="00757950" w:rsidP="007229DD">
            <w:pPr>
              <w:ind w:right="254"/>
              <w:jc w:val="center"/>
              <w:rPr>
                <w:b/>
              </w:rPr>
            </w:pPr>
            <w:r w:rsidRPr="00D35C49">
              <w:rPr>
                <w:b/>
              </w:rPr>
              <w:lastRenderedPageBreak/>
              <w:t xml:space="preserve">Mandatory Results </w:t>
            </w:r>
          </w:p>
        </w:tc>
        <w:tc>
          <w:tcPr>
            <w:tcW w:w="1527" w:type="pct"/>
          </w:tcPr>
          <w:p w:rsidR="00757950" w:rsidRPr="00D35C49" w:rsidRDefault="00757950" w:rsidP="007229DD">
            <w:pPr>
              <w:rPr>
                <w:b/>
                <w:u w:color="000000"/>
              </w:rPr>
            </w:pPr>
            <w:r w:rsidRPr="00D35C49">
              <w:rPr>
                <w:b/>
                <w:u w:color="000000"/>
              </w:rPr>
              <w:t xml:space="preserve">Component 1. </w:t>
            </w:r>
            <w:r w:rsidRPr="00D35C49">
              <w:rPr>
                <w:b/>
                <w:color w:val="DB2D19"/>
                <w:u w:color="000000"/>
              </w:rPr>
              <w:t xml:space="preserve"> </w:t>
            </w:r>
            <w:r w:rsidRPr="00D35C49">
              <w:rPr>
                <w:b/>
                <w:u w:color="000000"/>
              </w:rPr>
              <w:t>Establishment of</w:t>
            </w:r>
            <w:r w:rsidRPr="00D35C49">
              <w:rPr>
                <w:b/>
                <w:color w:val="DB2D19"/>
                <w:u w:color="000000"/>
              </w:rPr>
              <w:t xml:space="preserve"> </w:t>
            </w:r>
            <w:r w:rsidRPr="00D35C49">
              <w:rPr>
                <w:b/>
                <w:u w:color="000000"/>
              </w:rPr>
              <w:t>a legal and regulatory framework for plant health, seed and seedling materials, and plant protection products.</w:t>
            </w:r>
          </w:p>
          <w:p w:rsidR="00757950" w:rsidRPr="00D35C49" w:rsidRDefault="00757950" w:rsidP="007229DD">
            <w:pPr>
              <w:jc w:val="both"/>
            </w:pPr>
            <w:r w:rsidRPr="00D35C49">
              <w:t>Result 1. Legal and regulatory framework is fully compliant with legislation and good practice of the EU for plant health regime, seed and seedling material of agricultural plants, vegetable, vine fruits, ornamental and forest plants, placing of plant protection products (PPP) on the market and sustainable use of pesticides.</w:t>
            </w:r>
          </w:p>
          <w:p w:rsidR="00757950" w:rsidRPr="00D35C49" w:rsidRDefault="00757950" w:rsidP="007229DD"/>
          <w:p w:rsidR="00757950" w:rsidRPr="00D35C49" w:rsidRDefault="00757950" w:rsidP="007229DD"/>
          <w:p w:rsidR="00757950" w:rsidRPr="00D35C49" w:rsidRDefault="00757950" w:rsidP="007229DD">
            <w:pPr>
              <w:rPr>
                <w:b/>
              </w:rPr>
            </w:pPr>
            <w:r w:rsidRPr="00D35C49">
              <w:rPr>
                <w:b/>
                <w:u w:color="000000"/>
              </w:rPr>
              <w:t xml:space="preserve">Component 2. </w:t>
            </w:r>
            <w:r w:rsidRPr="00D35C49">
              <w:rPr>
                <w:b/>
              </w:rPr>
              <w:t>Plant health</w:t>
            </w:r>
          </w:p>
          <w:p w:rsidR="00757950" w:rsidRPr="00D35C49" w:rsidRDefault="00757950" w:rsidP="007229DD">
            <w:pPr>
              <w:spacing w:after="120"/>
              <w:jc w:val="both"/>
            </w:pPr>
            <w:r w:rsidRPr="00D35C49">
              <w:rPr>
                <w:color w:val="000000"/>
              </w:rPr>
              <w:t xml:space="preserve">Result 2. </w:t>
            </w:r>
            <w:r w:rsidRPr="00D35C49">
              <w:t xml:space="preserve">Register of operators (phytoregister) and rules of issuing plant passports are established and capacity is in place for effective coordination and management of the registration process within the competent authority in accordance with BiH legislation harmonized with EU </w:t>
            </w:r>
            <w:r w:rsidRPr="00D35C49">
              <w:rPr>
                <w:iCs/>
              </w:rPr>
              <w:t>acquis</w:t>
            </w:r>
            <w:r w:rsidRPr="00D35C49">
              <w:t>.</w:t>
            </w:r>
          </w:p>
          <w:p w:rsidR="00757950" w:rsidRPr="00D35C49" w:rsidRDefault="00757950" w:rsidP="007229DD">
            <w:pPr>
              <w:spacing w:after="120"/>
              <w:jc w:val="both"/>
            </w:pPr>
            <w:r w:rsidRPr="00D35C49">
              <w:rPr>
                <w:color w:val="000000"/>
              </w:rPr>
              <w:t xml:space="preserve">Result 3. </w:t>
            </w:r>
            <w:r w:rsidRPr="00D35C49">
              <w:t>System for surveillance and monitoring over harmful organisms under implementation.</w:t>
            </w:r>
          </w:p>
          <w:p w:rsidR="00757950" w:rsidRPr="00D35C49" w:rsidRDefault="00757950" w:rsidP="007229DD">
            <w:pPr>
              <w:spacing w:after="120"/>
              <w:jc w:val="both"/>
            </w:pPr>
            <w:r w:rsidRPr="00D35C49">
              <w:rPr>
                <w:color w:val="000000"/>
              </w:rPr>
              <w:t xml:space="preserve">Result 4. </w:t>
            </w:r>
            <w:r w:rsidRPr="00D35C49">
              <w:t>Cooperation and coordination procedures established between the Administration of BIH for Plant Health Protection and the phytosanitary inspections of entities and Brcko district.</w:t>
            </w:r>
          </w:p>
          <w:p w:rsidR="00757950" w:rsidRPr="00D35C49" w:rsidRDefault="00757950" w:rsidP="007229DD"/>
          <w:p w:rsidR="00757950" w:rsidRPr="00D35C49" w:rsidRDefault="00757950" w:rsidP="007229DD"/>
          <w:p w:rsidR="00757950" w:rsidRPr="00D35C49" w:rsidRDefault="00757950" w:rsidP="007229DD">
            <w:pPr>
              <w:rPr>
                <w:b/>
              </w:rPr>
            </w:pPr>
            <w:r w:rsidRPr="00D35C49">
              <w:rPr>
                <w:b/>
              </w:rPr>
              <w:t>Component 3.</w:t>
            </w:r>
            <w:r w:rsidRPr="00D35C49">
              <w:t xml:space="preserve"> </w:t>
            </w:r>
            <w:r w:rsidRPr="00D35C49">
              <w:rPr>
                <w:b/>
              </w:rPr>
              <w:t>Seeds and propagation materials</w:t>
            </w:r>
          </w:p>
          <w:p w:rsidR="00757950" w:rsidRPr="00D35C49" w:rsidRDefault="00757950" w:rsidP="007229DD">
            <w:pPr>
              <w:spacing w:after="120"/>
              <w:jc w:val="both"/>
            </w:pPr>
            <w:r w:rsidRPr="00D35C49">
              <w:t>Result 5. System for recognition and registration of varieties into the variety list of BIH, including a register for seed and seedling material and forest reproductive material established and operational, and a system to protect the breeders' rights in line with UPOV established and operational.</w:t>
            </w:r>
          </w:p>
          <w:p w:rsidR="00757950" w:rsidRPr="00D35C49" w:rsidRDefault="00757950" w:rsidP="007229DD">
            <w:pPr>
              <w:spacing w:after="120"/>
              <w:jc w:val="both"/>
            </w:pPr>
            <w:r w:rsidRPr="00D35C49">
              <w:t>Result 6. System for certification of seed and seedling material established and operational, including the delivery of master certificate for the forest reproductive material</w:t>
            </w:r>
          </w:p>
          <w:p w:rsidR="00757950" w:rsidRPr="00D35C49" w:rsidRDefault="00757950" w:rsidP="007229DD"/>
          <w:p w:rsidR="00757950" w:rsidRPr="00D35C49" w:rsidRDefault="00757950" w:rsidP="007229DD">
            <w:pPr>
              <w:rPr>
                <w:b/>
              </w:rPr>
            </w:pPr>
            <w:r w:rsidRPr="00D35C49">
              <w:rPr>
                <w:b/>
              </w:rPr>
              <w:t>Component 4. Plant protection products</w:t>
            </w:r>
          </w:p>
          <w:p w:rsidR="00757950" w:rsidRPr="00D35C49" w:rsidRDefault="00757950" w:rsidP="007229DD">
            <w:pPr>
              <w:spacing w:after="120"/>
              <w:jc w:val="both"/>
            </w:pPr>
            <w:r w:rsidRPr="00D35C49">
              <w:t>Result 7. System for the effective evaluation of PPPs and management of the processes of their registration in line with EU legislation in the field of PPPs strengthened.</w:t>
            </w:r>
          </w:p>
          <w:p w:rsidR="00757950" w:rsidRPr="00D35C49" w:rsidRDefault="00757950" w:rsidP="007229DD">
            <w:pPr>
              <w:spacing w:after="120"/>
              <w:jc w:val="both"/>
            </w:pPr>
            <w:r w:rsidRPr="00D35C49">
              <w:t>Result 8. System for the control of use of PPPs and quality control of PPPs established</w:t>
            </w:r>
          </w:p>
        </w:tc>
        <w:tc>
          <w:tcPr>
            <w:tcW w:w="1097" w:type="pct"/>
            <w:gridSpan w:val="2"/>
          </w:tcPr>
          <w:p w:rsidR="00757950" w:rsidRPr="00D35C49" w:rsidRDefault="00757950" w:rsidP="007229DD"/>
          <w:p w:rsidR="00757950" w:rsidRPr="00D35C49" w:rsidRDefault="00757950" w:rsidP="007229DD">
            <w:r w:rsidRPr="00D35C49">
              <w:t>1.  A complet</w:t>
            </w:r>
            <w:r>
              <w:t xml:space="preserve">e framework of </w:t>
            </w:r>
            <w:r w:rsidRPr="00D35C49">
              <w:t>legal provisions (primary, secondary and tertiary) prepared to be implemented by state, Entities and Brcko District institutions involved in plant health, seed and seedling material, and plant protection products.</w:t>
            </w:r>
          </w:p>
          <w:p w:rsidR="00757950" w:rsidRPr="00D35C49" w:rsidRDefault="00757950" w:rsidP="007229DD"/>
          <w:p w:rsidR="00757950" w:rsidRDefault="00757950" w:rsidP="007229DD"/>
          <w:p w:rsidR="00757950" w:rsidRDefault="00757950" w:rsidP="007229DD"/>
          <w:p w:rsidR="00757950" w:rsidRDefault="00757950" w:rsidP="007229DD"/>
          <w:p w:rsidR="00757950" w:rsidRDefault="00757950" w:rsidP="007229DD"/>
          <w:p w:rsidR="00757950" w:rsidRPr="00D35C49" w:rsidRDefault="00757950" w:rsidP="007229DD">
            <w:r w:rsidRPr="00D35C49">
              <w:t>2. An array of documents necessary to assure the registration of operators for phytosanitary purposes is delivered.</w:t>
            </w:r>
          </w:p>
          <w:p w:rsidR="00757950" w:rsidRPr="00D35C49" w:rsidRDefault="00757950" w:rsidP="007229DD"/>
          <w:p w:rsidR="00757950" w:rsidRPr="00D35C49" w:rsidRDefault="00757950" w:rsidP="007229DD">
            <w:r w:rsidRPr="00D35C49">
              <w:t>3. The capacity to conduct phytosanitary monitoring and surveillance is built.</w:t>
            </w:r>
          </w:p>
          <w:p w:rsidR="00757950" w:rsidRDefault="00757950" w:rsidP="007229DD"/>
          <w:p w:rsidR="00757950" w:rsidRDefault="00757950" w:rsidP="007229DD"/>
          <w:p w:rsidR="00757950" w:rsidRPr="00D35C49" w:rsidRDefault="00757950" w:rsidP="007229DD"/>
          <w:p w:rsidR="00757950" w:rsidRPr="00D35C49" w:rsidRDefault="00757950" w:rsidP="007229DD">
            <w:r w:rsidRPr="00D35C49">
              <w:t>4. Procedures for functioning of the phytosanitary inspection system at all levels are delivered.</w:t>
            </w:r>
          </w:p>
          <w:p w:rsidR="00757950" w:rsidRPr="00D35C49" w:rsidRDefault="00757950" w:rsidP="007229DD"/>
          <w:p w:rsidR="00757950" w:rsidRPr="00D35C49" w:rsidRDefault="00757950" w:rsidP="007229DD"/>
          <w:p w:rsidR="00757950" w:rsidRDefault="00757950" w:rsidP="007229DD"/>
          <w:p w:rsidR="00757950" w:rsidRPr="00D35C49" w:rsidRDefault="00757950" w:rsidP="007229DD"/>
          <w:p w:rsidR="00757950" w:rsidRDefault="00757950" w:rsidP="007229DD">
            <w:r w:rsidRPr="00D35C49">
              <w:t>5. Legal and operational framework to manage registration of seeds and propagation materials, as well as new varieties bred from BiH institutions is in place</w:t>
            </w:r>
          </w:p>
          <w:p w:rsidR="00757950" w:rsidRPr="00D35C49" w:rsidRDefault="00757950" w:rsidP="007229DD"/>
          <w:p w:rsidR="00757950" w:rsidRDefault="00757950" w:rsidP="007229DD">
            <w:r w:rsidRPr="00D35C49">
              <w:t>6. The system (legal provisions</w:t>
            </w:r>
            <w:r>
              <w:t>, . templates and manuals,</w:t>
            </w:r>
            <w:r w:rsidRPr="00D35C49">
              <w:t xml:space="preserve"> and institutional framework) for certification of se</w:t>
            </w:r>
            <w:r>
              <w:t>eds and vegetative material is established and adopted by the competent authorities</w:t>
            </w:r>
          </w:p>
          <w:p w:rsidR="00757950" w:rsidRDefault="00757950" w:rsidP="007229DD"/>
          <w:p w:rsidR="00757950" w:rsidRPr="00D35C49" w:rsidRDefault="00757950" w:rsidP="007229DD"/>
          <w:p w:rsidR="00757950" w:rsidRPr="00D35C49" w:rsidRDefault="00757950" w:rsidP="007229DD">
            <w:r w:rsidRPr="00D35C49">
              <w:t>7. The institutional capacity for managing PPPs registration is built up.</w:t>
            </w:r>
          </w:p>
          <w:p w:rsidR="00757950" w:rsidRPr="00D35C49" w:rsidRDefault="00757950" w:rsidP="007229DD"/>
          <w:p w:rsidR="00757950" w:rsidRPr="00D35C49" w:rsidRDefault="00757950" w:rsidP="007229DD">
            <w:r w:rsidRPr="00D35C49">
              <w:t xml:space="preserve">8. The knowledge and legal background for the post-registration control of PPPs is delivered. </w:t>
            </w:r>
          </w:p>
        </w:tc>
        <w:tc>
          <w:tcPr>
            <w:tcW w:w="0" w:type="auto"/>
          </w:tcPr>
          <w:p w:rsidR="00757950" w:rsidRPr="00C65034" w:rsidRDefault="00757950" w:rsidP="007229DD"/>
          <w:p w:rsidR="00757950" w:rsidRPr="00C65034" w:rsidRDefault="00757950" w:rsidP="007229DD"/>
          <w:p w:rsidR="00757950" w:rsidRPr="00C65034" w:rsidRDefault="00757950" w:rsidP="00757950">
            <w:pPr>
              <w:numPr>
                <w:ilvl w:val="0"/>
                <w:numId w:val="3"/>
              </w:numPr>
              <w:spacing w:after="0" w:line="240" w:lineRule="auto"/>
              <w:ind w:left="214" w:hanging="284"/>
            </w:pPr>
            <w:r>
              <w:t>Project reports approved by twinning partners and relevant technical Annexes translated in BiH language</w:t>
            </w:r>
          </w:p>
          <w:p w:rsidR="00757950" w:rsidRDefault="00757950" w:rsidP="007229DD">
            <w:pPr>
              <w:ind w:left="214" w:hanging="284"/>
            </w:pPr>
          </w:p>
          <w:p w:rsidR="00757950" w:rsidRDefault="00757950" w:rsidP="007229DD">
            <w:pPr>
              <w:ind w:left="214" w:hanging="284"/>
            </w:pPr>
          </w:p>
          <w:p w:rsidR="00757950" w:rsidRDefault="00757950" w:rsidP="007229DD">
            <w:pPr>
              <w:ind w:left="214" w:hanging="284"/>
            </w:pPr>
          </w:p>
          <w:p w:rsidR="00757950" w:rsidRDefault="00757950" w:rsidP="007229DD">
            <w:pPr>
              <w:ind w:left="214" w:hanging="284"/>
            </w:pPr>
          </w:p>
          <w:p w:rsidR="00757950" w:rsidRDefault="00757950" w:rsidP="007229DD">
            <w:pPr>
              <w:ind w:left="214" w:hanging="284"/>
            </w:pPr>
          </w:p>
          <w:p w:rsidR="00757950" w:rsidRDefault="00757950" w:rsidP="007229DD">
            <w:pPr>
              <w:ind w:left="214" w:hanging="284"/>
            </w:pPr>
          </w:p>
          <w:p w:rsidR="00757950" w:rsidRDefault="00757950" w:rsidP="007229DD">
            <w:pPr>
              <w:ind w:left="214" w:hanging="284"/>
            </w:pPr>
          </w:p>
          <w:p w:rsidR="00757950" w:rsidRDefault="00757950" w:rsidP="007229DD">
            <w:pPr>
              <w:ind w:left="214" w:hanging="284"/>
            </w:pPr>
          </w:p>
          <w:p w:rsidR="00757950" w:rsidRDefault="00757950" w:rsidP="007229DD">
            <w:pPr>
              <w:ind w:left="214" w:hanging="284"/>
            </w:pPr>
          </w:p>
          <w:p w:rsidR="00757950" w:rsidRDefault="00757950" w:rsidP="00757950">
            <w:pPr>
              <w:numPr>
                <w:ilvl w:val="0"/>
                <w:numId w:val="3"/>
              </w:numPr>
              <w:spacing w:after="0" w:line="240" w:lineRule="auto"/>
              <w:ind w:left="214" w:hanging="284"/>
            </w:pPr>
            <w:r>
              <w:t>Project reports approved by twinning partners and relevant technical Annexes translated in BiH language</w:t>
            </w:r>
          </w:p>
          <w:p w:rsidR="00757950" w:rsidRDefault="00757950" w:rsidP="007229DD">
            <w:pPr>
              <w:ind w:left="214"/>
            </w:pPr>
          </w:p>
          <w:p w:rsidR="00757950" w:rsidRPr="00C65034" w:rsidRDefault="00757950" w:rsidP="007229DD">
            <w:pPr>
              <w:ind w:left="214"/>
            </w:pPr>
          </w:p>
          <w:p w:rsidR="00757950" w:rsidRDefault="00757950" w:rsidP="00757950">
            <w:pPr>
              <w:numPr>
                <w:ilvl w:val="0"/>
                <w:numId w:val="3"/>
              </w:numPr>
              <w:spacing w:after="0" w:line="240" w:lineRule="auto"/>
              <w:ind w:left="214" w:hanging="284"/>
            </w:pPr>
            <w:r>
              <w:t xml:space="preserve">Project reports, internal documents of the competent authorities regarding the </w:t>
            </w:r>
            <w:r>
              <w:lastRenderedPageBreak/>
              <w:t>monitoring and surveillance organisation</w:t>
            </w:r>
          </w:p>
          <w:p w:rsidR="00757950" w:rsidRDefault="00757950" w:rsidP="00757950">
            <w:pPr>
              <w:numPr>
                <w:ilvl w:val="0"/>
                <w:numId w:val="3"/>
              </w:numPr>
              <w:spacing w:after="0" w:line="240" w:lineRule="auto"/>
              <w:ind w:left="214" w:hanging="284"/>
            </w:pPr>
            <w:r>
              <w:t>Project reports, manuals of procedures adopted by the competent authorities</w:t>
            </w:r>
          </w:p>
          <w:p w:rsidR="00757950" w:rsidRDefault="00757950" w:rsidP="007229DD"/>
          <w:p w:rsidR="00757950" w:rsidRDefault="00757950" w:rsidP="007229DD"/>
          <w:p w:rsidR="00757950" w:rsidRDefault="00757950" w:rsidP="007229DD"/>
          <w:p w:rsidR="00757950" w:rsidRDefault="00757950" w:rsidP="007229DD"/>
          <w:p w:rsidR="00757950" w:rsidRDefault="00757950" w:rsidP="007229DD"/>
          <w:p w:rsidR="00757950" w:rsidRPr="00A5284F" w:rsidRDefault="00757950" w:rsidP="00757950">
            <w:pPr>
              <w:numPr>
                <w:ilvl w:val="0"/>
                <w:numId w:val="3"/>
              </w:numPr>
              <w:spacing w:after="0" w:line="240" w:lineRule="auto"/>
              <w:ind w:left="214" w:hanging="284"/>
            </w:pPr>
            <w:r>
              <w:t>Decisions and regulations adopted by the competent authorities. Annexes to project reports</w:t>
            </w:r>
          </w:p>
          <w:p w:rsidR="00757950" w:rsidRDefault="00757950" w:rsidP="007229DD"/>
          <w:p w:rsidR="00757950" w:rsidRDefault="00757950" w:rsidP="007229DD"/>
          <w:p w:rsidR="00757950" w:rsidRDefault="00757950" w:rsidP="007229DD"/>
          <w:p w:rsidR="00757950" w:rsidRDefault="00757950" w:rsidP="00757950">
            <w:pPr>
              <w:numPr>
                <w:ilvl w:val="0"/>
                <w:numId w:val="3"/>
              </w:numPr>
              <w:spacing w:after="0" w:line="240" w:lineRule="auto"/>
              <w:ind w:left="214" w:hanging="284"/>
            </w:pPr>
            <w:r>
              <w:t>Decisions and regulations adopted by the competent authorities. Annexes to project reports</w:t>
            </w:r>
          </w:p>
          <w:p w:rsidR="00757950" w:rsidRDefault="00757950" w:rsidP="007229DD">
            <w:pPr>
              <w:ind w:left="214"/>
            </w:pPr>
          </w:p>
          <w:p w:rsidR="00757950" w:rsidRDefault="00757950" w:rsidP="007229DD">
            <w:pPr>
              <w:ind w:left="214"/>
            </w:pPr>
          </w:p>
          <w:p w:rsidR="00757950" w:rsidRDefault="00757950" w:rsidP="007229DD">
            <w:pPr>
              <w:ind w:left="214"/>
            </w:pPr>
          </w:p>
          <w:p w:rsidR="00757950" w:rsidRDefault="00757950" w:rsidP="007229DD">
            <w:pPr>
              <w:ind w:left="214"/>
            </w:pPr>
          </w:p>
          <w:p w:rsidR="00757950" w:rsidRPr="00A5284F" w:rsidRDefault="00757950" w:rsidP="007229DD">
            <w:pPr>
              <w:ind w:left="214"/>
            </w:pPr>
          </w:p>
          <w:p w:rsidR="00757950" w:rsidRDefault="00757950" w:rsidP="00757950">
            <w:pPr>
              <w:numPr>
                <w:ilvl w:val="0"/>
                <w:numId w:val="3"/>
              </w:numPr>
              <w:spacing w:after="0" w:line="240" w:lineRule="auto"/>
              <w:ind w:left="214" w:hanging="284"/>
            </w:pPr>
            <w:r>
              <w:t xml:space="preserve">Decisions and regulations adopted by the competent </w:t>
            </w:r>
            <w:r>
              <w:lastRenderedPageBreak/>
              <w:t>authorities. Annexes to project reports</w:t>
            </w:r>
          </w:p>
          <w:p w:rsidR="00757950" w:rsidRDefault="00757950" w:rsidP="007229DD">
            <w:pPr>
              <w:ind w:left="214"/>
            </w:pPr>
          </w:p>
          <w:p w:rsidR="00757950" w:rsidRPr="002C5BAB" w:rsidRDefault="00757950" w:rsidP="00757950">
            <w:pPr>
              <w:numPr>
                <w:ilvl w:val="0"/>
                <w:numId w:val="3"/>
              </w:numPr>
              <w:spacing w:after="0" w:line="240" w:lineRule="auto"/>
              <w:ind w:left="214" w:hanging="284"/>
            </w:pPr>
            <w:r>
              <w:t>Project reports, internal documents of the competent authorities regarding the surveillance over PPPs</w:t>
            </w:r>
          </w:p>
        </w:tc>
        <w:tc>
          <w:tcPr>
            <w:tcW w:w="762" w:type="pct"/>
          </w:tcPr>
          <w:p w:rsidR="00757950" w:rsidRPr="00D35C49" w:rsidRDefault="00757950" w:rsidP="007229DD"/>
          <w:p w:rsidR="00757950" w:rsidRPr="00D35C49" w:rsidRDefault="00757950" w:rsidP="007229DD"/>
          <w:p w:rsidR="00757950" w:rsidRPr="00D35C49" w:rsidRDefault="00757950" w:rsidP="007229DD"/>
          <w:p w:rsidR="00757950" w:rsidRPr="00D35C49" w:rsidRDefault="00757950" w:rsidP="007229DD">
            <w:r w:rsidRPr="00D35C49">
              <w:t xml:space="preserve">Appropriate collaboration between beneficiaries institutions </w:t>
            </w:r>
          </w:p>
          <w:p w:rsidR="00757950" w:rsidRDefault="00757950" w:rsidP="007229DD"/>
          <w:p w:rsidR="00757950" w:rsidRDefault="00757950" w:rsidP="007229DD"/>
          <w:p w:rsidR="00757950" w:rsidRDefault="00757950" w:rsidP="007229DD"/>
          <w:p w:rsidR="00757950" w:rsidRDefault="00757950" w:rsidP="007229DD"/>
          <w:p w:rsidR="00757950" w:rsidRDefault="00757950" w:rsidP="007229DD"/>
          <w:p w:rsidR="00757950" w:rsidRDefault="00757950" w:rsidP="007229DD"/>
          <w:p w:rsidR="00757950" w:rsidRDefault="00757950" w:rsidP="007229DD"/>
          <w:p w:rsidR="00757950" w:rsidRPr="00D35C49" w:rsidRDefault="00757950" w:rsidP="007229DD"/>
          <w:p w:rsidR="00757950" w:rsidRPr="00D35C49" w:rsidRDefault="00757950" w:rsidP="007229DD">
            <w:r w:rsidRPr="00D35C49">
              <w:t>Resources are assured for the development of the systems at state, entities and Brcko district level</w:t>
            </w:r>
          </w:p>
          <w:p w:rsidR="00757950" w:rsidRPr="00D35C49" w:rsidRDefault="00757950" w:rsidP="007229DD"/>
          <w:p w:rsidR="00757950" w:rsidRDefault="00757950" w:rsidP="007229DD"/>
          <w:p w:rsidR="00757950" w:rsidRDefault="00757950" w:rsidP="007229DD"/>
          <w:p w:rsidR="00757950" w:rsidRPr="00D35C49" w:rsidRDefault="00757950" w:rsidP="007229DD">
            <w:r w:rsidRPr="00D35C49">
              <w:lastRenderedPageBreak/>
              <w:t xml:space="preserve">Willingness from the concerned institutions in implementing the systems related to phytosanitary inspection, seeds and vegetative material certification, PPPs registration </w:t>
            </w:r>
          </w:p>
          <w:p w:rsidR="00757950" w:rsidRPr="00D35C49" w:rsidRDefault="00757950" w:rsidP="007229DD"/>
          <w:p w:rsidR="00757950" w:rsidRPr="00D35C49" w:rsidRDefault="00757950" w:rsidP="007229DD"/>
        </w:tc>
      </w:tr>
    </w:tbl>
    <w:p w:rsidR="00757950" w:rsidRDefault="00757950" w:rsidP="00757950">
      <w:pPr>
        <w:ind w:right="254"/>
      </w:pPr>
    </w:p>
    <w:p w:rsidR="00757950" w:rsidRDefault="00757950" w:rsidP="00757950">
      <w:pPr>
        <w:ind w:right="254"/>
      </w:pPr>
    </w:p>
    <w:p w:rsidR="00757950" w:rsidRDefault="00757950" w:rsidP="00757950">
      <w:pPr>
        <w:ind w:right="254"/>
      </w:pPr>
      <w: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085"/>
        <w:gridCol w:w="2410"/>
        <w:gridCol w:w="91"/>
        <w:gridCol w:w="3543"/>
        <w:gridCol w:w="51"/>
        <w:gridCol w:w="2926"/>
        <w:gridCol w:w="2036"/>
      </w:tblGrid>
      <w:tr w:rsidR="00757950" w:rsidRPr="00F5017A" w:rsidTr="007229DD">
        <w:tc>
          <w:tcPr>
            <w:tcW w:w="3085" w:type="dxa"/>
            <w:shd w:val="clear" w:color="auto" w:fill="CCCCCC"/>
          </w:tcPr>
          <w:p w:rsidR="00757950" w:rsidRPr="00F5017A" w:rsidRDefault="00757950" w:rsidP="007229DD">
            <w:pPr>
              <w:ind w:right="254"/>
              <w:rPr>
                <w:b/>
              </w:rPr>
            </w:pPr>
            <w:r w:rsidRPr="00F5017A">
              <w:rPr>
                <w:b/>
              </w:rPr>
              <w:lastRenderedPageBreak/>
              <w:t>Activities</w:t>
            </w:r>
          </w:p>
        </w:tc>
        <w:tc>
          <w:tcPr>
            <w:tcW w:w="2410" w:type="dxa"/>
            <w:shd w:val="clear" w:color="auto" w:fill="CCCCCC"/>
          </w:tcPr>
          <w:p w:rsidR="00757950" w:rsidRPr="00F5017A" w:rsidRDefault="00757950" w:rsidP="007229DD">
            <w:pPr>
              <w:ind w:right="254"/>
              <w:rPr>
                <w:b/>
              </w:rPr>
            </w:pPr>
            <w:r w:rsidRPr="00F5017A">
              <w:rPr>
                <w:b/>
              </w:rPr>
              <w:t>Sub-Activities</w:t>
            </w:r>
          </w:p>
        </w:tc>
        <w:tc>
          <w:tcPr>
            <w:tcW w:w="3685" w:type="dxa"/>
            <w:gridSpan w:val="3"/>
            <w:shd w:val="clear" w:color="auto" w:fill="CCCCCC"/>
          </w:tcPr>
          <w:p w:rsidR="00757950" w:rsidRPr="00F5017A" w:rsidRDefault="00757950" w:rsidP="007229DD">
            <w:pPr>
              <w:spacing w:after="60"/>
              <w:ind w:right="254"/>
              <w:rPr>
                <w:b/>
              </w:rPr>
            </w:pPr>
            <w:r w:rsidRPr="00F5017A">
              <w:rPr>
                <w:b/>
              </w:rPr>
              <w:t>Benchmarks</w:t>
            </w:r>
          </w:p>
        </w:tc>
        <w:tc>
          <w:tcPr>
            <w:tcW w:w="2926" w:type="dxa"/>
            <w:shd w:val="clear" w:color="auto" w:fill="CCCCCC"/>
          </w:tcPr>
          <w:p w:rsidR="00757950" w:rsidRPr="00F5017A" w:rsidRDefault="00757950" w:rsidP="007229DD">
            <w:pPr>
              <w:ind w:right="254"/>
              <w:rPr>
                <w:b/>
              </w:rPr>
            </w:pPr>
            <w:r w:rsidRPr="00F5017A">
              <w:rPr>
                <w:b/>
              </w:rPr>
              <w:t>Sources of verification</w:t>
            </w:r>
          </w:p>
        </w:tc>
        <w:tc>
          <w:tcPr>
            <w:tcW w:w="2036" w:type="dxa"/>
            <w:shd w:val="clear" w:color="auto" w:fill="CCCCCC"/>
          </w:tcPr>
          <w:p w:rsidR="00757950" w:rsidRPr="00F5017A" w:rsidRDefault="00757950" w:rsidP="007229DD">
            <w:pPr>
              <w:spacing w:after="120"/>
              <w:ind w:right="254"/>
              <w:rPr>
                <w:b/>
              </w:rPr>
            </w:pPr>
            <w:r w:rsidRPr="00F5017A">
              <w:rPr>
                <w:b/>
              </w:rPr>
              <w:t>Assumptions</w:t>
            </w:r>
          </w:p>
        </w:tc>
      </w:tr>
      <w:tr w:rsidR="00757950" w:rsidRPr="00F5017A" w:rsidTr="007229DD">
        <w:tc>
          <w:tcPr>
            <w:tcW w:w="3085" w:type="dxa"/>
          </w:tcPr>
          <w:p w:rsidR="00757950" w:rsidRPr="00F5017A" w:rsidRDefault="00757950" w:rsidP="007229DD">
            <w:pPr>
              <w:ind w:right="254"/>
            </w:pPr>
            <w:r>
              <w:t xml:space="preserve">A0) </w:t>
            </w:r>
            <w:r w:rsidRPr="00F5017A">
              <w:t>Visibility events</w:t>
            </w:r>
          </w:p>
        </w:tc>
        <w:tc>
          <w:tcPr>
            <w:tcW w:w="2410" w:type="dxa"/>
          </w:tcPr>
          <w:p w:rsidR="00757950" w:rsidRPr="00F5017A" w:rsidRDefault="00757950" w:rsidP="007229DD">
            <w:pPr>
              <w:spacing w:after="120"/>
              <w:ind w:right="255"/>
            </w:pPr>
            <w:r w:rsidRPr="00F5017A">
              <w:t>Kick-off meeting in BiH</w:t>
            </w:r>
          </w:p>
          <w:p w:rsidR="00757950" w:rsidRPr="00F5017A" w:rsidRDefault="00757950" w:rsidP="007229DD">
            <w:pPr>
              <w:spacing w:after="120"/>
              <w:ind w:right="255"/>
            </w:pPr>
            <w:r w:rsidRPr="00F5017A">
              <w:t>Final event in BiH</w:t>
            </w:r>
          </w:p>
        </w:tc>
        <w:tc>
          <w:tcPr>
            <w:tcW w:w="3685" w:type="dxa"/>
            <w:gridSpan w:val="3"/>
          </w:tcPr>
          <w:p w:rsidR="00757950" w:rsidRPr="00F5017A" w:rsidRDefault="00757950" w:rsidP="007229DD">
            <w:pPr>
              <w:spacing w:after="60"/>
              <w:ind w:right="254"/>
            </w:pPr>
            <w:r>
              <w:t xml:space="preserve">A0.1 </w:t>
            </w:r>
            <w:r w:rsidRPr="00F5017A">
              <w:t>Introduction to the project</w:t>
            </w:r>
          </w:p>
          <w:p w:rsidR="00757950" w:rsidRPr="00F5017A" w:rsidRDefault="00757950" w:rsidP="007229DD">
            <w:pPr>
              <w:spacing w:after="60"/>
              <w:ind w:right="254"/>
            </w:pPr>
            <w:r>
              <w:t xml:space="preserve">A0.2 </w:t>
            </w:r>
            <w:r w:rsidRPr="00F5017A">
              <w:t xml:space="preserve">Increased awareness about the activities of administrations involved in phytosanitary inspection </w:t>
            </w:r>
          </w:p>
          <w:p w:rsidR="00757950" w:rsidRDefault="00757950" w:rsidP="007229DD">
            <w:pPr>
              <w:pStyle w:val="Default"/>
              <w:spacing w:after="60"/>
              <w:rPr>
                <w:sz w:val="22"/>
                <w:szCs w:val="22"/>
              </w:rPr>
            </w:pPr>
            <w:r>
              <w:rPr>
                <w:sz w:val="22"/>
                <w:szCs w:val="22"/>
              </w:rPr>
              <w:t xml:space="preserve">A0.3 </w:t>
            </w:r>
            <w:r w:rsidRPr="00F5017A">
              <w:rPr>
                <w:sz w:val="22"/>
                <w:szCs w:val="22"/>
              </w:rPr>
              <w:t xml:space="preserve">Awareness among stakeholders about the improvement of phytosanitary inspection system, seeds and plant material certification, plant protection products registration and control </w:t>
            </w:r>
          </w:p>
          <w:p w:rsidR="00757950" w:rsidRPr="00F5017A" w:rsidRDefault="00757950" w:rsidP="007229DD">
            <w:pPr>
              <w:pStyle w:val="Default"/>
              <w:spacing w:after="60"/>
              <w:rPr>
                <w:sz w:val="22"/>
                <w:szCs w:val="22"/>
              </w:rPr>
            </w:pPr>
            <w:r>
              <w:rPr>
                <w:sz w:val="22"/>
                <w:szCs w:val="22"/>
                <w:u w:color="000000"/>
              </w:rPr>
              <w:t>A0.4 Project leaflet is prepared and project website is launched</w:t>
            </w:r>
          </w:p>
        </w:tc>
        <w:tc>
          <w:tcPr>
            <w:tcW w:w="2926" w:type="dxa"/>
          </w:tcPr>
          <w:p w:rsidR="00757950" w:rsidRPr="00F5017A" w:rsidRDefault="00757950" w:rsidP="007229DD">
            <w:pPr>
              <w:ind w:right="254"/>
            </w:pPr>
            <w:r w:rsidRPr="00F5017A">
              <w:t>First quarterly report</w:t>
            </w:r>
          </w:p>
          <w:p w:rsidR="00757950" w:rsidRPr="00F5017A" w:rsidRDefault="00757950" w:rsidP="007229DD">
            <w:pPr>
              <w:ind w:right="254"/>
            </w:pPr>
            <w:r w:rsidRPr="00F5017A">
              <w:t>Final report</w:t>
            </w:r>
            <w:r w:rsidRPr="00F5017A">
              <w:rPr>
                <w:b/>
              </w:rPr>
              <w:t xml:space="preserve"> </w:t>
            </w:r>
          </w:p>
        </w:tc>
        <w:tc>
          <w:tcPr>
            <w:tcW w:w="2036" w:type="dxa"/>
          </w:tcPr>
          <w:p w:rsidR="00757950" w:rsidRPr="00F5017A" w:rsidRDefault="00757950" w:rsidP="007229DD">
            <w:pPr>
              <w:spacing w:after="120"/>
              <w:ind w:right="254"/>
            </w:pPr>
          </w:p>
        </w:tc>
      </w:tr>
      <w:tr w:rsidR="00757950" w:rsidRPr="00F5017A" w:rsidTr="007229DD">
        <w:tc>
          <w:tcPr>
            <w:tcW w:w="14142" w:type="dxa"/>
            <w:gridSpan w:val="7"/>
            <w:shd w:val="clear" w:color="auto" w:fill="E6E6E6"/>
          </w:tcPr>
          <w:p w:rsidR="00757950" w:rsidRPr="00F5017A" w:rsidRDefault="00757950" w:rsidP="007229DD">
            <w:pPr>
              <w:spacing w:after="120"/>
              <w:ind w:right="254"/>
              <w:rPr>
                <w:b/>
              </w:rPr>
            </w:pPr>
            <w:r w:rsidRPr="00F5017A">
              <w:rPr>
                <w:b/>
                <w:u w:color="000000"/>
              </w:rPr>
              <w:t xml:space="preserve">Component 1. </w:t>
            </w:r>
            <w:r w:rsidRPr="00F5017A">
              <w:rPr>
                <w:b/>
                <w:color w:val="DB2D19"/>
                <w:u w:color="000000"/>
              </w:rPr>
              <w:t xml:space="preserve"> </w:t>
            </w:r>
            <w:r w:rsidRPr="00F5017A">
              <w:rPr>
                <w:b/>
                <w:u w:color="000000"/>
              </w:rPr>
              <w:t>Establishment of</w:t>
            </w:r>
            <w:r w:rsidRPr="00F5017A">
              <w:rPr>
                <w:b/>
                <w:color w:val="DB2D19"/>
                <w:u w:color="000000"/>
              </w:rPr>
              <w:t xml:space="preserve"> </w:t>
            </w:r>
            <w:r w:rsidRPr="00F5017A">
              <w:rPr>
                <w:b/>
                <w:u w:color="000000"/>
              </w:rPr>
              <w:t>a legal and regulatory framework for plant health, seed and seedling materials, and plant protection products.</w:t>
            </w:r>
          </w:p>
        </w:tc>
      </w:tr>
      <w:tr w:rsidR="00757950" w:rsidRPr="00F5017A" w:rsidTr="007229DD">
        <w:trPr>
          <w:trHeight w:val="932"/>
        </w:trPr>
        <w:tc>
          <w:tcPr>
            <w:tcW w:w="3085" w:type="dxa"/>
          </w:tcPr>
          <w:p w:rsidR="00757950" w:rsidRPr="00F5017A" w:rsidRDefault="00757950" w:rsidP="007229DD">
            <w:pPr>
              <w:pStyle w:val="Default"/>
              <w:rPr>
                <w:sz w:val="22"/>
                <w:szCs w:val="22"/>
              </w:rPr>
            </w:pPr>
            <w:r w:rsidRPr="00F5017A">
              <w:rPr>
                <w:sz w:val="22"/>
                <w:szCs w:val="22"/>
              </w:rPr>
              <w:t xml:space="preserve">1.1 Draft missing regulations in accordance with EU </w:t>
            </w:r>
            <w:r w:rsidRPr="00F5017A">
              <w:rPr>
                <w:i/>
                <w:iCs/>
                <w:sz w:val="22"/>
                <w:szCs w:val="22"/>
              </w:rPr>
              <w:t xml:space="preserve">acquis </w:t>
            </w:r>
            <w:r w:rsidRPr="00F5017A">
              <w:rPr>
                <w:sz w:val="22"/>
                <w:szCs w:val="22"/>
              </w:rPr>
              <w:t xml:space="preserve">on plant health regime, seed and seedling material of agricultural plants, vegetable, vine fruits, ornamental and forest plants, placing of plant protection products (PPP) on the market and sustainable use of pesticides. </w:t>
            </w:r>
          </w:p>
          <w:p w:rsidR="00757950" w:rsidRPr="00F5017A" w:rsidRDefault="00757950" w:rsidP="007229DD">
            <w:pPr>
              <w:tabs>
                <w:tab w:val="left" w:pos="1276"/>
              </w:tabs>
              <w:ind w:right="254"/>
            </w:pPr>
          </w:p>
        </w:tc>
        <w:tc>
          <w:tcPr>
            <w:tcW w:w="2410" w:type="dxa"/>
          </w:tcPr>
          <w:p w:rsidR="00757950" w:rsidRPr="00F5017A" w:rsidRDefault="00757950" w:rsidP="007229DD">
            <w:pPr>
              <w:ind w:right="254"/>
            </w:pP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1.1.1) Gaps analysis performed for legal aspects related to all area concerned by the project </w:t>
            </w:r>
          </w:p>
          <w:p w:rsidR="00757950" w:rsidRPr="00F5017A" w:rsidRDefault="00757950" w:rsidP="007229DD">
            <w:pPr>
              <w:pStyle w:val="Default"/>
              <w:spacing w:after="60"/>
              <w:rPr>
                <w:sz w:val="22"/>
                <w:szCs w:val="22"/>
              </w:rPr>
            </w:pPr>
            <w:r w:rsidRPr="00F5017A">
              <w:rPr>
                <w:sz w:val="22"/>
                <w:szCs w:val="22"/>
              </w:rPr>
              <w:t xml:space="preserve">1.1.2) Tables of </w:t>
            </w:r>
            <w:r>
              <w:rPr>
                <w:sz w:val="22"/>
                <w:szCs w:val="22"/>
              </w:rPr>
              <w:t>con</w:t>
            </w:r>
            <w:r w:rsidRPr="00F5017A">
              <w:rPr>
                <w:sz w:val="22"/>
                <w:szCs w:val="22"/>
              </w:rPr>
              <w:t xml:space="preserve">cordance of legislation for the areas concerned by the project for the primary and secondary legislation prepared; </w:t>
            </w:r>
          </w:p>
          <w:p w:rsidR="00757950" w:rsidRPr="00F5017A" w:rsidRDefault="00757950" w:rsidP="007229DD">
            <w:pPr>
              <w:pStyle w:val="Default"/>
              <w:spacing w:after="60"/>
              <w:rPr>
                <w:sz w:val="22"/>
                <w:szCs w:val="22"/>
              </w:rPr>
            </w:pPr>
            <w:r w:rsidRPr="00F5017A">
              <w:rPr>
                <w:sz w:val="22"/>
                <w:szCs w:val="22"/>
              </w:rPr>
              <w:t>1.1.3) To provide a suggested legislation framework for legal implementation of the system</w:t>
            </w:r>
            <w:r>
              <w:rPr>
                <w:sz w:val="22"/>
                <w:szCs w:val="22"/>
              </w:rPr>
              <w:t>s</w:t>
            </w:r>
            <w:r w:rsidRPr="00F5017A">
              <w:rPr>
                <w:sz w:val="22"/>
                <w:szCs w:val="22"/>
              </w:rPr>
              <w:t xml:space="preserve"> </w:t>
            </w:r>
          </w:p>
          <w:p w:rsidR="00757950" w:rsidRPr="00F5017A" w:rsidRDefault="00757950" w:rsidP="007229DD">
            <w:pPr>
              <w:pStyle w:val="Default"/>
              <w:spacing w:after="60"/>
              <w:rPr>
                <w:sz w:val="22"/>
                <w:szCs w:val="22"/>
              </w:rPr>
            </w:pPr>
            <w:r w:rsidRPr="00F5017A">
              <w:rPr>
                <w:sz w:val="22"/>
                <w:szCs w:val="22"/>
              </w:rPr>
              <w:t xml:space="preserve">1.1.4) </w:t>
            </w:r>
            <w:r>
              <w:rPr>
                <w:sz w:val="22"/>
                <w:szCs w:val="22"/>
              </w:rPr>
              <w:t>L</w:t>
            </w:r>
            <w:r w:rsidRPr="00A660D3">
              <w:rPr>
                <w:sz w:val="22"/>
                <w:szCs w:val="22"/>
              </w:rPr>
              <w:t>egislation for implementation of the system is delivered</w:t>
            </w:r>
            <w:r>
              <w:rPr>
                <w:sz w:val="22"/>
                <w:szCs w:val="22"/>
              </w:rPr>
              <w:t xml:space="preserve"> upon legal assessment</w:t>
            </w:r>
          </w:p>
        </w:tc>
        <w:tc>
          <w:tcPr>
            <w:tcW w:w="2926" w:type="dxa"/>
          </w:tcPr>
          <w:p w:rsidR="00757950" w:rsidRPr="00F5017A" w:rsidRDefault="00757950" w:rsidP="007229DD">
            <w:pPr>
              <w:pStyle w:val="CommentText"/>
              <w:ind w:right="254"/>
              <w:rPr>
                <w:sz w:val="22"/>
                <w:szCs w:val="22"/>
                <w:lang w:val="en-GB"/>
              </w:rPr>
            </w:pPr>
            <w:r w:rsidRPr="00F5017A">
              <w:rPr>
                <w:sz w:val="22"/>
                <w:szCs w:val="22"/>
                <w:lang w:val="en-GB"/>
              </w:rPr>
              <w:t>Annexes to Mission reports</w:t>
            </w:r>
          </w:p>
          <w:p w:rsidR="00757950" w:rsidRPr="00F5017A" w:rsidRDefault="00757950" w:rsidP="007229DD">
            <w:pPr>
              <w:pStyle w:val="CommentText"/>
              <w:ind w:right="254"/>
              <w:rPr>
                <w:sz w:val="22"/>
                <w:szCs w:val="22"/>
                <w:lang w:val="en-GB"/>
              </w:rPr>
            </w:pPr>
            <w:r w:rsidRPr="00F5017A">
              <w:rPr>
                <w:sz w:val="22"/>
                <w:szCs w:val="22"/>
                <w:lang w:val="en-GB"/>
              </w:rPr>
              <w:t xml:space="preserve">Annexes to Quarterly </w:t>
            </w:r>
            <w:r>
              <w:rPr>
                <w:sz w:val="22"/>
                <w:szCs w:val="22"/>
                <w:lang w:val="en-GB"/>
              </w:rPr>
              <w:t xml:space="preserve">and Final </w:t>
            </w:r>
            <w:r w:rsidRPr="00F5017A">
              <w:rPr>
                <w:sz w:val="22"/>
                <w:szCs w:val="22"/>
                <w:lang w:val="en-GB"/>
              </w:rPr>
              <w:t>report</w:t>
            </w:r>
            <w:r>
              <w:rPr>
                <w:sz w:val="22"/>
                <w:szCs w:val="22"/>
                <w:lang w:val="en-GB"/>
              </w:rPr>
              <w:t>s</w:t>
            </w:r>
            <w:r w:rsidRPr="00F5017A">
              <w:rPr>
                <w:sz w:val="22"/>
                <w:szCs w:val="22"/>
                <w:lang w:val="en-GB"/>
              </w:rPr>
              <w:t xml:space="preserve"> </w:t>
            </w:r>
          </w:p>
        </w:tc>
        <w:tc>
          <w:tcPr>
            <w:tcW w:w="2036" w:type="dxa"/>
          </w:tcPr>
          <w:p w:rsidR="00757950" w:rsidRPr="00F5017A" w:rsidRDefault="00757950" w:rsidP="007229DD">
            <w:pPr>
              <w:autoSpaceDE w:val="0"/>
              <w:autoSpaceDN w:val="0"/>
              <w:adjustRightInd w:val="0"/>
              <w:spacing w:after="120"/>
              <w:ind w:left="-30" w:right="254"/>
            </w:pPr>
            <w:r>
              <w:t>Availability of documents from all beneficiaries institutions involved</w:t>
            </w:r>
          </w:p>
        </w:tc>
      </w:tr>
      <w:tr w:rsidR="00757950" w:rsidRPr="00F5017A" w:rsidTr="007229DD">
        <w:trPr>
          <w:trHeight w:val="1130"/>
        </w:trPr>
        <w:tc>
          <w:tcPr>
            <w:tcW w:w="3085" w:type="dxa"/>
          </w:tcPr>
          <w:p w:rsidR="00757950" w:rsidRPr="00F5017A" w:rsidRDefault="00757950" w:rsidP="007229DD">
            <w:pPr>
              <w:pStyle w:val="Default"/>
              <w:rPr>
                <w:sz w:val="22"/>
                <w:szCs w:val="22"/>
              </w:rPr>
            </w:pPr>
            <w:r w:rsidRPr="00F5017A">
              <w:rPr>
                <w:sz w:val="22"/>
                <w:szCs w:val="22"/>
              </w:rPr>
              <w:t xml:space="preserve">1.2 Train phytosanitary services staff for the implementation of adopted regulations </w:t>
            </w:r>
          </w:p>
          <w:p w:rsidR="00757950" w:rsidRPr="00F5017A" w:rsidRDefault="00757950" w:rsidP="007229DD">
            <w:pPr>
              <w:pStyle w:val="Body"/>
              <w:spacing w:after="0"/>
              <w:rPr>
                <w:rFonts w:ascii="Times New Roman" w:hAnsi="Times New Roman"/>
                <w:sz w:val="22"/>
                <w:szCs w:val="22"/>
                <w:lang w:val="en-GB"/>
              </w:rPr>
            </w:pPr>
          </w:p>
        </w:tc>
        <w:tc>
          <w:tcPr>
            <w:tcW w:w="2410" w:type="dxa"/>
          </w:tcPr>
          <w:p w:rsidR="00757950" w:rsidRPr="00F5017A" w:rsidRDefault="00757950" w:rsidP="007229DD">
            <w:pPr>
              <w:pStyle w:val="Body"/>
              <w:spacing w:after="0"/>
              <w:rPr>
                <w:rFonts w:ascii="Times New Roman" w:hAnsi="Times New Roman"/>
                <w:sz w:val="22"/>
                <w:szCs w:val="22"/>
                <w:lang w:val="en-GB"/>
              </w:rPr>
            </w:pP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1.2.1) Training needs analysis </w:t>
            </w:r>
            <w:r>
              <w:rPr>
                <w:sz w:val="22"/>
                <w:szCs w:val="22"/>
              </w:rPr>
              <w:t>performed</w:t>
            </w:r>
          </w:p>
          <w:p w:rsidR="00757950" w:rsidRPr="00F5017A" w:rsidRDefault="00757950" w:rsidP="007229DD">
            <w:pPr>
              <w:pStyle w:val="Default"/>
              <w:spacing w:after="60"/>
              <w:rPr>
                <w:sz w:val="22"/>
                <w:szCs w:val="22"/>
              </w:rPr>
            </w:pPr>
            <w:r w:rsidRPr="00F5017A">
              <w:rPr>
                <w:sz w:val="22"/>
                <w:szCs w:val="22"/>
              </w:rPr>
              <w:t xml:space="preserve">1.2.2) A plan to organise human capacity building through training courses, workshops and study visits to EU member states for relevant stakeholders is delivered. </w:t>
            </w:r>
          </w:p>
          <w:p w:rsidR="00757950" w:rsidRPr="00F5017A" w:rsidRDefault="00757950" w:rsidP="007229DD">
            <w:pPr>
              <w:spacing w:after="60"/>
              <w:ind w:right="254"/>
            </w:pPr>
            <w:r w:rsidRPr="00F5017A">
              <w:lastRenderedPageBreak/>
              <w:t xml:space="preserve">1.2.3) An Internet-Based Administrative-Knowledge System (IBAKS) composed of the array of documents (instructions, guidelines, manuals, leaflets) developed for the different areas concerned by the project is built. </w:t>
            </w:r>
          </w:p>
        </w:tc>
        <w:tc>
          <w:tcPr>
            <w:tcW w:w="2926" w:type="dxa"/>
          </w:tcPr>
          <w:p w:rsidR="00757950" w:rsidRPr="00F5017A" w:rsidRDefault="00757950" w:rsidP="007229DD">
            <w:pPr>
              <w:pStyle w:val="CommentText"/>
              <w:ind w:right="254"/>
              <w:rPr>
                <w:sz w:val="22"/>
                <w:szCs w:val="22"/>
                <w:lang w:val="en-GB"/>
              </w:rPr>
            </w:pPr>
            <w:r w:rsidRPr="00F5017A">
              <w:rPr>
                <w:sz w:val="22"/>
                <w:szCs w:val="22"/>
                <w:lang w:val="en-GB"/>
              </w:rPr>
              <w:lastRenderedPageBreak/>
              <w:t>Annexes to Mission report</w:t>
            </w:r>
            <w:r>
              <w:rPr>
                <w:sz w:val="22"/>
                <w:szCs w:val="22"/>
                <w:lang w:val="en-GB"/>
              </w:rPr>
              <w:t>s</w:t>
            </w:r>
          </w:p>
          <w:p w:rsidR="00757950" w:rsidRDefault="00757950" w:rsidP="007229DD">
            <w:pPr>
              <w:pStyle w:val="CommentText"/>
              <w:ind w:right="254"/>
              <w:rPr>
                <w:sz w:val="22"/>
                <w:szCs w:val="22"/>
                <w:lang w:val="en-GB"/>
              </w:rPr>
            </w:pPr>
            <w:r w:rsidRPr="00F5017A">
              <w:rPr>
                <w:sz w:val="22"/>
                <w:szCs w:val="22"/>
                <w:lang w:val="en-GB"/>
              </w:rPr>
              <w:t xml:space="preserve">Annexes to Quarterly </w:t>
            </w:r>
            <w:r>
              <w:rPr>
                <w:sz w:val="22"/>
                <w:szCs w:val="22"/>
                <w:lang w:val="en-GB"/>
              </w:rPr>
              <w:t xml:space="preserve">and Final </w:t>
            </w:r>
            <w:r w:rsidRPr="00F5017A">
              <w:rPr>
                <w:sz w:val="22"/>
                <w:szCs w:val="22"/>
                <w:lang w:val="en-GB"/>
              </w:rPr>
              <w:t>report</w:t>
            </w:r>
            <w:r>
              <w:rPr>
                <w:sz w:val="22"/>
                <w:szCs w:val="22"/>
                <w:lang w:val="en-GB"/>
              </w:rPr>
              <w:t>s</w:t>
            </w:r>
            <w:r w:rsidRPr="00F5017A">
              <w:rPr>
                <w:sz w:val="22"/>
                <w:szCs w:val="22"/>
                <w:lang w:val="en-GB"/>
              </w:rPr>
              <w:t xml:space="preserve"> </w:t>
            </w:r>
          </w:p>
          <w:p w:rsidR="00757950" w:rsidRDefault="00757950" w:rsidP="007229DD">
            <w:r w:rsidRPr="00B3607E">
              <w:t>PHPA website</w:t>
            </w:r>
          </w:p>
          <w:p w:rsidR="00757950" w:rsidRPr="00F5017A" w:rsidRDefault="00757950" w:rsidP="007229DD">
            <w:pPr>
              <w:pStyle w:val="CommentText"/>
              <w:ind w:right="254"/>
              <w:rPr>
                <w:sz w:val="22"/>
                <w:szCs w:val="22"/>
                <w:lang w:val="en-GB"/>
              </w:rPr>
            </w:pPr>
          </w:p>
        </w:tc>
        <w:tc>
          <w:tcPr>
            <w:tcW w:w="2036" w:type="dxa"/>
          </w:tcPr>
          <w:p w:rsidR="00757950" w:rsidRDefault="00757950" w:rsidP="007229DD">
            <w:pPr>
              <w:autoSpaceDE w:val="0"/>
              <w:autoSpaceDN w:val="0"/>
              <w:adjustRightInd w:val="0"/>
              <w:spacing w:after="120"/>
              <w:ind w:left="-30" w:right="254"/>
            </w:pPr>
            <w:r>
              <w:t>Willingness of staff from all beneficiaries institutions involved to answer to a questionnaire</w:t>
            </w:r>
          </w:p>
          <w:p w:rsidR="00757950" w:rsidRPr="00F5017A" w:rsidRDefault="00757950" w:rsidP="007229DD">
            <w:pPr>
              <w:autoSpaceDE w:val="0"/>
              <w:autoSpaceDN w:val="0"/>
              <w:adjustRightInd w:val="0"/>
              <w:spacing w:after="120"/>
              <w:ind w:right="254"/>
            </w:pPr>
            <w:r>
              <w:lastRenderedPageBreak/>
              <w:t>PHPA website accessibility by entities and Brcko district institutions</w:t>
            </w:r>
          </w:p>
        </w:tc>
      </w:tr>
      <w:tr w:rsidR="00757950" w:rsidRPr="00F5017A" w:rsidTr="007229DD">
        <w:tc>
          <w:tcPr>
            <w:tcW w:w="14142" w:type="dxa"/>
            <w:gridSpan w:val="7"/>
            <w:shd w:val="clear" w:color="auto" w:fill="E6E6E6"/>
          </w:tcPr>
          <w:p w:rsidR="00757950" w:rsidRPr="00F5017A" w:rsidRDefault="00757950" w:rsidP="007229DD">
            <w:pPr>
              <w:pStyle w:val="Default"/>
              <w:spacing w:after="120"/>
              <w:rPr>
                <w:sz w:val="22"/>
                <w:szCs w:val="22"/>
              </w:rPr>
            </w:pPr>
            <w:r w:rsidRPr="00F5017A">
              <w:rPr>
                <w:b/>
                <w:bCs/>
                <w:sz w:val="22"/>
                <w:szCs w:val="22"/>
              </w:rPr>
              <w:lastRenderedPageBreak/>
              <w:t xml:space="preserve">Component 2. Plant health </w:t>
            </w:r>
          </w:p>
        </w:tc>
      </w:tr>
      <w:tr w:rsidR="00757950" w:rsidRPr="00F5017A" w:rsidTr="007229DD">
        <w:tc>
          <w:tcPr>
            <w:tcW w:w="14142" w:type="dxa"/>
            <w:gridSpan w:val="7"/>
            <w:shd w:val="clear" w:color="auto" w:fill="E6E6E6"/>
          </w:tcPr>
          <w:p w:rsidR="00757950" w:rsidRPr="00F5017A" w:rsidRDefault="00757950" w:rsidP="007229DD">
            <w:pPr>
              <w:pStyle w:val="Default"/>
              <w:spacing w:after="120"/>
              <w:rPr>
                <w:sz w:val="22"/>
                <w:szCs w:val="22"/>
              </w:rPr>
            </w:pPr>
            <w:r>
              <w:rPr>
                <w:b/>
                <w:bCs/>
                <w:sz w:val="22"/>
                <w:szCs w:val="22"/>
              </w:rPr>
              <w:t>Action 1</w:t>
            </w:r>
            <w:r w:rsidRPr="00F5017A">
              <w:rPr>
                <w:b/>
                <w:bCs/>
                <w:sz w:val="22"/>
                <w:szCs w:val="22"/>
              </w:rPr>
              <w:t xml:space="preserve">. </w:t>
            </w:r>
            <w:proofErr w:type="spellStart"/>
            <w:r>
              <w:rPr>
                <w:b/>
                <w:bCs/>
                <w:sz w:val="22"/>
                <w:szCs w:val="22"/>
              </w:rPr>
              <w:t>Phytoregister</w:t>
            </w:r>
            <w:proofErr w:type="spellEnd"/>
          </w:p>
        </w:tc>
      </w:tr>
      <w:tr w:rsidR="00757950" w:rsidRPr="00F5017A" w:rsidTr="007229DD">
        <w:trPr>
          <w:trHeight w:val="1509"/>
        </w:trPr>
        <w:tc>
          <w:tcPr>
            <w:tcW w:w="3085" w:type="dxa"/>
          </w:tcPr>
          <w:p w:rsidR="00757950" w:rsidRPr="00F5017A" w:rsidRDefault="00757950" w:rsidP="007229DD">
            <w:pPr>
              <w:pStyle w:val="Default"/>
              <w:rPr>
                <w:sz w:val="22"/>
                <w:szCs w:val="22"/>
              </w:rPr>
            </w:pPr>
            <w:r w:rsidRPr="00F5017A">
              <w:rPr>
                <w:sz w:val="22"/>
                <w:szCs w:val="22"/>
              </w:rPr>
              <w:t xml:space="preserve">2.1. Prepare and implement procedures for management of register of operators. </w:t>
            </w:r>
          </w:p>
          <w:p w:rsidR="00757950" w:rsidRPr="00F5017A" w:rsidRDefault="00757950" w:rsidP="007229DD">
            <w:pPr>
              <w:pStyle w:val="Body"/>
              <w:spacing w:after="0"/>
              <w:rPr>
                <w:rFonts w:ascii="Times New Roman" w:hAnsi="Times New Roman"/>
                <w:sz w:val="22"/>
                <w:szCs w:val="22"/>
                <w:lang w:val="en-GB"/>
              </w:rPr>
            </w:pPr>
          </w:p>
        </w:tc>
        <w:tc>
          <w:tcPr>
            <w:tcW w:w="2410" w:type="dxa"/>
          </w:tcPr>
          <w:p w:rsidR="00757950" w:rsidRPr="00F5017A" w:rsidRDefault="00757950" w:rsidP="007229DD">
            <w:pPr>
              <w:pStyle w:val="Body"/>
              <w:spacing w:after="0"/>
              <w:rPr>
                <w:rFonts w:ascii="Times New Roman" w:hAnsi="Times New Roman"/>
                <w:sz w:val="22"/>
                <w:szCs w:val="22"/>
                <w:lang w:val="en-GB"/>
              </w:rPr>
            </w:pP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2.1.1) Tertiary legislation (instructions and procedures) for the register of operators is </w:t>
            </w:r>
            <w:r>
              <w:rPr>
                <w:sz w:val="22"/>
                <w:szCs w:val="22"/>
              </w:rPr>
              <w:t>developed</w:t>
            </w:r>
            <w:r w:rsidRPr="00F5017A">
              <w:rPr>
                <w:sz w:val="22"/>
                <w:szCs w:val="22"/>
              </w:rPr>
              <w:t xml:space="preserve"> </w:t>
            </w:r>
          </w:p>
          <w:p w:rsidR="00757950" w:rsidRPr="00F5017A" w:rsidRDefault="00757950" w:rsidP="007229DD">
            <w:pPr>
              <w:pStyle w:val="Body"/>
              <w:spacing w:after="60"/>
              <w:rPr>
                <w:rFonts w:ascii="Times New Roman" w:hAnsi="Times New Roman"/>
                <w:sz w:val="22"/>
                <w:szCs w:val="22"/>
                <w:u w:color="000000"/>
                <w:lang w:val="en-GB"/>
              </w:rPr>
            </w:pPr>
            <w:r w:rsidRPr="00F5017A">
              <w:rPr>
                <w:rFonts w:ascii="Times New Roman" w:hAnsi="Times New Roman"/>
                <w:sz w:val="22"/>
                <w:szCs w:val="22"/>
                <w:lang w:val="en-GB"/>
              </w:rPr>
              <w:t xml:space="preserve">2.1.2) An electronic system for the management of the register is provided </w:t>
            </w:r>
          </w:p>
        </w:tc>
        <w:tc>
          <w:tcPr>
            <w:tcW w:w="2926" w:type="dxa"/>
          </w:tcPr>
          <w:p w:rsidR="00757950" w:rsidRPr="00F5017A" w:rsidRDefault="00757950" w:rsidP="007229DD">
            <w:pPr>
              <w:pStyle w:val="CommentText"/>
              <w:ind w:right="254"/>
              <w:rPr>
                <w:sz w:val="22"/>
                <w:szCs w:val="22"/>
                <w:lang w:val="en-GB"/>
              </w:rPr>
            </w:pPr>
            <w:r w:rsidRPr="00F5017A">
              <w:rPr>
                <w:sz w:val="22"/>
                <w:szCs w:val="22"/>
                <w:lang w:val="en-GB"/>
              </w:rPr>
              <w:t>Annexes to Mission reports</w:t>
            </w:r>
          </w:p>
          <w:p w:rsidR="00757950" w:rsidRDefault="00757950" w:rsidP="007229DD">
            <w:pPr>
              <w:pStyle w:val="CommentText"/>
              <w:ind w:right="254"/>
              <w:rPr>
                <w:sz w:val="22"/>
                <w:szCs w:val="22"/>
                <w:lang w:val="en-GB"/>
              </w:rPr>
            </w:pPr>
            <w:r w:rsidRPr="00F5017A">
              <w:rPr>
                <w:sz w:val="22"/>
                <w:szCs w:val="22"/>
                <w:lang w:val="en-GB"/>
              </w:rPr>
              <w:t>Annexes to Quarterly reports</w:t>
            </w:r>
            <w:r>
              <w:rPr>
                <w:sz w:val="22"/>
                <w:szCs w:val="22"/>
                <w:lang w:val="en-GB"/>
              </w:rPr>
              <w:t xml:space="preserve"> </w:t>
            </w:r>
          </w:p>
          <w:p w:rsidR="00757950" w:rsidRDefault="00757950" w:rsidP="007229DD">
            <w:pPr>
              <w:pStyle w:val="CommentText"/>
              <w:ind w:right="254"/>
              <w:rPr>
                <w:sz w:val="22"/>
                <w:szCs w:val="22"/>
                <w:lang w:val="en-GB"/>
              </w:rPr>
            </w:pPr>
            <w:r w:rsidRPr="00F5017A">
              <w:rPr>
                <w:sz w:val="22"/>
                <w:szCs w:val="22"/>
                <w:lang w:val="en-GB"/>
              </w:rPr>
              <w:t xml:space="preserve">Annexes to Final report </w:t>
            </w:r>
          </w:p>
          <w:p w:rsidR="00757950" w:rsidRPr="00F5017A" w:rsidRDefault="00757950" w:rsidP="007229DD">
            <w:r>
              <w:t>Intranet website of PHPA</w:t>
            </w:r>
          </w:p>
          <w:p w:rsidR="00757950" w:rsidRPr="00F5017A" w:rsidRDefault="00757950" w:rsidP="007229DD">
            <w:pPr>
              <w:pStyle w:val="CommentText"/>
              <w:ind w:right="254"/>
              <w:rPr>
                <w:sz w:val="22"/>
                <w:szCs w:val="22"/>
                <w:lang w:val="en-GB"/>
              </w:rPr>
            </w:pPr>
          </w:p>
        </w:tc>
        <w:tc>
          <w:tcPr>
            <w:tcW w:w="2036" w:type="dxa"/>
          </w:tcPr>
          <w:p w:rsidR="00757950" w:rsidRPr="00F5017A" w:rsidRDefault="00757950" w:rsidP="007229DD">
            <w:pPr>
              <w:autoSpaceDE w:val="0"/>
              <w:autoSpaceDN w:val="0"/>
              <w:adjustRightInd w:val="0"/>
              <w:spacing w:after="120"/>
              <w:ind w:left="-30" w:right="254"/>
            </w:pPr>
            <w:r>
              <w:t>PHPA website accessibility by entities and Brcko district institutions</w:t>
            </w:r>
          </w:p>
        </w:tc>
      </w:tr>
      <w:tr w:rsidR="00757950" w:rsidRPr="00F5017A" w:rsidTr="007229DD">
        <w:trPr>
          <w:trHeight w:val="1639"/>
        </w:trPr>
        <w:tc>
          <w:tcPr>
            <w:tcW w:w="3085" w:type="dxa"/>
          </w:tcPr>
          <w:p w:rsidR="00757950" w:rsidRPr="00F5017A" w:rsidRDefault="00757950" w:rsidP="007229DD">
            <w:pPr>
              <w:pStyle w:val="Default"/>
              <w:rPr>
                <w:sz w:val="22"/>
                <w:szCs w:val="22"/>
              </w:rPr>
            </w:pPr>
            <w:r w:rsidRPr="00F5017A">
              <w:rPr>
                <w:sz w:val="22"/>
                <w:szCs w:val="22"/>
              </w:rPr>
              <w:t xml:space="preserve">2.2. Train administrative staff on establishment and management of registers, from receipt to issuance of authorizations </w:t>
            </w:r>
          </w:p>
          <w:p w:rsidR="00757950" w:rsidRPr="00F5017A" w:rsidRDefault="00757950" w:rsidP="007229DD">
            <w:pPr>
              <w:tabs>
                <w:tab w:val="left" w:pos="1276"/>
              </w:tabs>
              <w:ind w:right="254"/>
            </w:pPr>
          </w:p>
        </w:tc>
        <w:tc>
          <w:tcPr>
            <w:tcW w:w="2410" w:type="dxa"/>
          </w:tcPr>
          <w:p w:rsidR="00757950" w:rsidRPr="00F5017A" w:rsidRDefault="00757950" w:rsidP="007229DD">
            <w:pPr>
              <w:ind w:right="254"/>
            </w:pP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2.2) </w:t>
            </w:r>
            <w:r>
              <w:rPr>
                <w:sz w:val="22"/>
                <w:szCs w:val="22"/>
              </w:rPr>
              <w:t xml:space="preserve">At least 100 </w:t>
            </w:r>
            <w:r w:rsidRPr="00F5017A">
              <w:rPr>
                <w:sz w:val="22"/>
                <w:szCs w:val="22"/>
              </w:rPr>
              <w:t xml:space="preserve">staff operating the register is trained </w:t>
            </w:r>
          </w:p>
          <w:p w:rsidR="00757950" w:rsidRPr="00F5017A" w:rsidRDefault="00757950" w:rsidP="007229DD">
            <w:pPr>
              <w:spacing w:after="60"/>
              <w:rPr>
                <w:bCs/>
              </w:rPr>
            </w:pPr>
          </w:p>
        </w:tc>
        <w:tc>
          <w:tcPr>
            <w:tcW w:w="2926" w:type="dxa"/>
          </w:tcPr>
          <w:p w:rsidR="00757950" w:rsidRPr="00F5017A" w:rsidRDefault="00757950" w:rsidP="007229DD">
            <w:pPr>
              <w:pStyle w:val="CommentText"/>
              <w:ind w:right="254"/>
              <w:rPr>
                <w:sz w:val="22"/>
                <w:szCs w:val="22"/>
                <w:lang w:val="en-GB"/>
              </w:rPr>
            </w:pPr>
            <w:r w:rsidRPr="00F5017A">
              <w:rPr>
                <w:sz w:val="22"/>
                <w:szCs w:val="22"/>
                <w:lang w:val="en-GB"/>
              </w:rPr>
              <w:t>Annexes to Mission reports</w:t>
            </w:r>
          </w:p>
          <w:p w:rsidR="00757950" w:rsidRPr="00F5017A" w:rsidRDefault="00757950" w:rsidP="007229DD">
            <w:r w:rsidRPr="00F5017A">
              <w:t>Training courses certificates</w:t>
            </w:r>
          </w:p>
          <w:p w:rsidR="00757950" w:rsidRDefault="00757950" w:rsidP="007229DD">
            <w:pPr>
              <w:pStyle w:val="CommentText"/>
              <w:ind w:right="254"/>
              <w:rPr>
                <w:sz w:val="22"/>
                <w:szCs w:val="22"/>
                <w:lang w:val="en-GB"/>
              </w:rPr>
            </w:pPr>
            <w:r w:rsidRPr="00300F4C">
              <w:rPr>
                <w:sz w:val="22"/>
                <w:szCs w:val="22"/>
              </w:rPr>
              <w:t>Courses Evaluation Sheets</w:t>
            </w:r>
          </w:p>
          <w:p w:rsidR="00757950" w:rsidRPr="00F5017A" w:rsidRDefault="00757950" w:rsidP="007229DD">
            <w:pPr>
              <w:pStyle w:val="CommentText"/>
              <w:ind w:right="254"/>
              <w:rPr>
                <w:sz w:val="22"/>
                <w:szCs w:val="22"/>
                <w:lang w:val="en-GB"/>
              </w:rPr>
            </w:pPr>
          </w:p>
        </w:tc>
        <w:tc>
          <w:tcPr>
            <w:tcW w:w="2036" w:type="dxa"/>
          </w:tcPr>
          <w:p w:rsidR="00757950" w:rsidRPr="00F5017A" w:rsidRDefault="00757950" w:rsidP="007229DD">
            <w:pPr>
              <w:autoSpaceDE w:val="0"/>
              <w:autoSpaceDN w:val="0"/>
              <w:adjustRightInd w:val="0"/>
              <w:spacing w:after="120"/>
              <w:ind w:left="-30" w:right="254"/>
            </w:pPr>
            <w:r>
              <w:t>Availability of staff from all beneficiaries institutions</w:t>
            </w:r>
          </w:p>
        </w:tc>
      </w:tr>
      <w:tr w:rsidR="00757950" w:rsidRPr="00F5017A" w:rsidTr="007229DD">
        <w:trPr>
          <w:trHeight w:val="694"/>
        </w:trPr>
        <w:tc>
          <w:tcPr>
            <w:tcW w:w="3085" w:type="dxa"/>
          </w:tcPr>
          <w:p w:rsidR="00757950" w:rsidRPr="00F5017A" w:rsidRDefault="00757950" w:rsidP="007229DD">
            <w:pPr>
              <w:pStyle w:val="Default"/>
              <w:rPr>
                <w:sz w:val="22"/>
                <w:szCs w:val="22"/>
              </w:rPr>
            </w:pPr>
            <w:r w:rsidRPr="00F5017A">
              <w:rPr>
                <w:sz w:val="22"/>
                <w:szCs w:val="22"/>
              </w:rPr>
              <w:t xml:space="preserve">2.3. Train producers, importers, exporters (operators) and others who are dealing with plants, plant products and other articles for registrations </w:t>
            </w:r>
          </w:p>
        </w:tc>
        <w:tc>
          <w:tcPr>
            <w:tcW w:w="2410" w:type="dxa"/>
          </w:tcPr>
          <w:p w:rsidR="00757950" w:rsidRPr="00F5017A" w:rsidRDefault="00757950" w:rsidP="007229DD">
            <w:pPr>
              <w:ind w:right="254"/>
            </w:pP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2.3.1) An array </w:t>
            </w:r>
            <w:r>
              <w:rPr>
                <w:sz w:val="22"/>
                <w:szCs w:val="22"/>
              </w:rPr>
              <w:t>of seminars and</w:t>
            </w:r>
            <w:r w:rsidRPr="00A660D3">
              <w:rPr>
                <w:sz w:val="22"/>
                <w:szCs w:val="22"/>
              </w:rPr>
              <w:t xml:space="preserve"> trainings </w:t>
            </w:r>
            <w:r w:rsidRPr="00904FAE">
              <w:rPr>
                <w:sz w:val="22"/>
                <w:szCs w:val="22"/>
              </w:rPr>
              <w:t>(at least 5)</w:t>
            </w:r>
            <w:r w:rsidRPr="00DB77AE">
              <w:rPr>
                <w:sz w:val="22"/>
                <w:szCs w:val="22"/>
              </w:rPr>
              <w:t xml:space="preserve"> </w:t>
            </w:r>
            <w:r w:rsidRPr="00F5017A">
              <w:rPr>
                <w:sz w:val="22"/>
                <w:szCs w:val="22"/>
              </w:rPr>
              <w:t xml:space="preserve">are carried out for operators </w:t>
            </w:r>
          </w:p>
          <w:p w:rsidR="00757950" w:rsidRDefault="00757950" w:rsidP="007229DD">
            <w:pPr>
              <w:spacing w:after="60"/>
              <w:ind w:right="254"/>
            </w:pPr>
            <w:r w:rsidRPr="00F5017A">
              <w:t xml:space="preserve">2.3.2) An information campaign is performed </w:t>
            </w:r>
          </w:p>
          <w:p w:rsidR="00757950" w:rsidRPr="00917434" w:rsidRDefault="00757950" w:rsidP="007229DD">
            <w:pPr>
              <w:pStyle w:val="Body"/>
              <w:spacing w:after="0"/>
              <w:rPr>
                <w:rFonts w:ascii="Times New Roman" w:hAnsi="Times New Roman"/>
                <w:sz w:val="22"/>
                <w:szCs w:val="22"/>
                <w:lang w:val="en-GB"/>
              </w:rPr>
            </w:pPr>
            <w:r>
              <w:rPr>
                <w:rFonts w:ascii="Times New Roman" w:hAnsi="Times New Roman"/>
                <w:sz w:val="22"/>
                <w:szCs w:val="22"/>
                <w:lang w:val="en-GB"/>
              </w:rPr>
              <w:t xml:space="preserve">2.3.3) Informative materials (leaflet, poster, video clip) about registration of operators into the </w:t>
            </w:r>
            <w:proofErr w:type="spellStart"/>
            <w:r>
              <w:rPr>
                <w:rFonts w:ascii="Times New Roman" w:hAnsi="Times New Roman"/>
                <w:sz w:val="22"/>
                <w:szCs w:val="22"/>
                <w:lang w:val="en-GB"/>
              </w:rPr>
              <w:t>phytoregister</w:t>
            </w:r>
            <w:proofErr w:type="spellEnd"/>
            <w:r>
              <w:rPr>
                <w:rFonts w:ascii="Times New Roman" w:hAnsi="Times New Roman"/>
                <w:sz w:val="22"/>
                <w:szCs w:val="22"/>
                <w:lang w:val="en-GB"/>
              </w:rPr>
              <w:t xml:space="preserve"> is produced and printed </w:t>
            </w:r>
            <w:r w:rsidRPr="006440FC">
              <w:rPr>
                <w:rFonts w:ascii="Times New Roman" w:hAnsi="Times New Roman"/>
                <w:sz w:val="22"/>
                <w:szCs w:val="22"/>
                <w:lang w:val="en-GB"/>
              </w:rPr>
              <w:t>(1000 copies for leaflet; 100 copies for poster)</w:t>
            </w:r>
          </w:p>
        </w:tc>
        <w:tc>
          <w:tcPr>
            <w:tcW w:w="2926" w:type="dxa"/>
          </w:tcPr>
          <w:p w:rsidR="00757950" w:rsidRPr="00F5017A" w:rsidRDefault="00757950" w:rsidP="007229DD">
            <w:pPr>
              <w:pStyle w:val="CommentText"/>
              <w:ind w:right="254"/>
              <w:rPr>
                <w:sz w:val="22"/>
                <w:szCs w:val="22"/>
                <w:lang w:val="en-GB"/>
              </w:rPr>
            </w:pPr>
            <w:r w:rsidRPr="00F5017A">
              <w:rPr>
                <w:sz w:val="22"/>
                <w:szCs w:val="22"/>
                <w:lang w:val="en-GB"/>
              </w:rPr>
              <w:t>Annexes to Mission reports</w:t>
            </w:r>
          </w:p>
          <w:p w:rsidR="00757950" w:rsidRDefault="00757950" w:rsidP="007229DD">
            <w:pPr>
              <w:pStyle w:val="CommentText"/>
              <w:ind w:right="254"/>
              <w:rPr>
                <w:sz w:val="22"/>
                <w:szCs w:val="22"/>
                <w:lang w:val="en-GB"/>
              </w:rPr>
            </w:pPr>
            <w:r w:rsidRPr="00F5017A">
              <w:rPr>
                <w:sz w:val="22"/>
                <w:szCs w:val="22"/>
                <w:lang w:val="en-GB"/>
              </w:rPr>
              <w:t xml:space="preserve">Annexes to Quarterly reports </w:t>
            </w:r>
          </w:p>
          <w:p w:rsidR="00757950" w:rsidRDefault="00757950" w:rsidP="007229DD">
            <w:pPr>
              <w:pStyle w:val="CommentText"/>
              <w:ind w:right="254"/>
              <w:rPr>
                <w:sz w:val="22"/>
                <w:szCs w:val="22"/>
                <w:lang w:val="en-GB"/>
              </w:rPr>
            </w:pPr>
            <w:r w:rsidRPr="00F5017A">
              <w:rPr>
                <w:sz w:val="22"/>
                <w:szCs w:val="22"/>
                <w:lang w:val="en-GB"/>
              </w:rPr>
              <w:t xml:space="preserve">Annexes to Final report </w:t>
            </w:r>
          </w:p>
          <w:p w:rsidR="00757950" w:rsidRPr="00F5017A" w:rsidRDefault="00757950" w:rsidP="007229DD">
            <w:r w:rsidRPr="00F5017A">
              <w:t>Training courses certificates</w:t>
            </w:r>
          </w:p>
          <w:p w:rsidR="00757950" w:rsidRPr="00300F4C" w:rsidRDefault="00757950" w:rsidP="007229DD">
            <w:pPr>
              <w:pStyle w:val="CommentText"/>
              <w:ind w:right="254"/>
              <w:rPr>
                <w:sz w:val="22"/>
                <w:szCs w:val="22"/>
              </w:rPr>
            </w:pPr>
            <w:r w:rsidRPr="00300F4C">
              <w:rPr>
                <w:sz w:val="22"/>
                <w:szCs w:val="22"/>
              </w:rPr>
              <w:t>Courses Evaluation Sheets</w:t>
            </w:r>
          </w:p>
          <w:p w:rsidR="00757950" w:rsidRPr="00300F4C" w:rsidRDefault="00757950" w:rsidP="007229DD">
            <w:pPr>
              <w:pStyle w:val="CommentText"/>
              <w:ind w:right="254"/>
              <w:rPr>
                <w:sz w:val="22"/>
                <w:szCs w:val="22"/>
              </w:rPr>
            </w:pPr>
            <w:r w:rsidRPr="00300F4C">
              <w:rPr>
                <w:sz w:val="22"/>
                <w:szCs w:val="22"/>
              </w:rPr>
              <w:t>Number of contacts in Project webpage</w:t>
            </w:r>
          </w:p>
          <w:p w:rsidR="00757950" w:rsidRPr="00F5017A" w:rsidRDefault="00757950" w:rsidP="007229DD">
            <w:r w:rsidRPr="00B3607E">
              <w:t>PHPA website</w:t>
            </w:r>
          </w:p>
        </w:tc>
        <w:tc>
          <w:tcPr>
            <w:tcW w:w="2036" w:type="dxa"/>
          </w:tcPr>
          <w:p w:rsidR="00757950" w:rsidRDefault="00757950" w:rsidP="007229DD">
            <w:pPr>
              <w:autoSpaceDE w:val="0"/>
              <w:autoSpaceDN w:val="0"/>
              <w:adjustRightInd w:val="0"/>
              <w:spacing w:after="120"/>
              <w:ind w:left="-30" w:right="254"/>
            </w:pPr>
            <w:r>
              <w:t>Availability of staff from all beneficiaries institutions</w:t>
            </w:r>
          </w:p>
          <w:p w:rsidR="00757950" w:rsidRPr="00F5017A" w:rsidRDefault="00757950" w:rsidP="007229DD">
            <w:pPr>
              <w:autoSpaceDE w:val="0"/>
              <w:autoSpaceDN w:val="0"/>
              <w:adjustRightInd w:val="0"/>
              <w:spacing w:after="120"/>
              <w:ind w:left="-30" w:right="254"/>
            </w:pPr>
            <w:r>
              <w:t>PHPA website easily updated</w:t>
            </w:r>
          </w:p>
        </w:tc>
      </w:tr>
      <w:tr w:rsidR="00757950" w:rsidRPr="00F5017A" w:rsidTr="007229DD">
        <w:trPr>
          <w:trHeight w:val="694"/>
        </w:trPr>
        <w:tc>
          <w:tcPr>
            <w:tcW w:w="3085" w:type="dxa"/>
          </w:tcPr>
          <w:p w:rsidR="00757950" w:rsidRPr="00F5017A" w:rsidRDefault="00757950" w:rsidP="007229DD">
            <w:pPr>
              <w:pStyle w:val="Default"/>
              <w:rPr>
                <w:sz w:val="22"/>
                <w:szCs w:val="22"/>
              </w:rPr>
            </w:pPr>
            <w:r w:rsidRPr="00F5017A">
              <w:rPr>
                <w:sz w:val="22"/>
                <w:szCs w:val="22"/>
              </w:rPr>
              <w:t xml:space="preserve">2.4 Train administrative staff and/or producers on the rules for issuing plant passports </w:t>
            </w:r>
          </w:p>
          <w:p w:rsidR="00757950" w:rsidRPr="00F5017A" w:rsidRDefault="00757950" w:rsidP="007229DD">
            <w:pPr>
              <w:ind w:right="254"/>
            </w:pPr>
          </w:p>
        </w:tc>
        <w:tc>
          <w:tcPr>
            <w:tcW w:w="2410" w:type="dxa"/>
          </w:tcPr>
          <w:p w:rsidR="00757950" w:rsidRPr="00F5017A" w:rsidRDefault="00757950" w:rsidP="007229DD">
            <w:pPr>
              <w:pStyle w:val="Body"/>
              <w:spacing w:after="0"/>
              <w:rPr>
                <w:rFonts w:ascii="Times New Roman" w:hAnsi="Times New Roman"/>
                <w:sz w:val="22"/>
                <w:szCs w:val="22"/>
                <w:lang w:val="en-GB"/>
              </w:rPr>
            </w:pP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2.4) </w:t>
            </w:r>
            <w:r>
              <w:rPr>
                <w:sz w:val="22"/>
                <w:szCs w:val="22"/>
              </w:rPr>
              <w:t>P</w:t>
            </w:r>
            <w:r w:rsidRPr="00F5017A">
              <w:rPr>
                <w:sz w:val="22"/>
                <w:szCs w:val="22"/>
              </w:rPr>
              <w:t xml:space="preserve">ractical trainings are carried out on how to issue plant passports </w:t>
            </w:r>
            <w:r>
              <w:rPr>
                <w:sz w:val="22"/>
                <w:szCs w:val="22"/>
              </w:rPr>
              <w:t>to at least 100 staff and operators.</w:t>
            </w:r>
          </w:p>
          <w:p w:rsidR="00757950" w:rsidRPr="00F5017A" w:rsidRDefault="00757950" w:rsidP="007229DD">
            <w:pPr>
              <w:spacing w:after="60"/>
              <w:ind w:right="254"/>
              <w:rPr>
                <w:bCs/>
              </w:rPr>
            </w:pPr>
          </w:p>
        </w:tc>
        <w:tc>
          <w:tcPr>
            <w:tcW w:w="2926" w:type="dxa"/>
          </w:tcPr>
          <w:p w:rsidR="00757950" w:rsidRPr="00F5017A" w:rsidRDefault="00757950" w:rsidP="007229DD">
            <w:pPr>
              <w:pStyle w:val="CommentText"/>
              <w:ind w:right="254"/>
              <w:rPr>
                <w:sz w:val="22"/>
                <w:szCs w:val="22"/>
                <w:lang w:val="en-GB"/>
              </w:rPr>
            </w:pPr>
            <w:r w:rsidRPr="00F5017A">
              <w:rPr>
                <w:sz w:val="22"/>
                <w:szCs w:val="22"/>
                <w:lang w:val="en-GB"/>
              </w:rPr>
              <w:lastRenderedPageBreak/>
              <w:t>Annexes to Mission reports</w:t>
            </w:r>
          </w:p>
          <w:p w:rsidR="00757950" w:rsidRDefault="00757950" w:rsidP="007229DD">
            <w:pPr>
              <w:ind w:right="254"/>
              <w:rPr>
                <w:bCs/>
              </w:rPr>
            </w:pPr>
            <w:r w:rsidRPr="00F5017A">
              <w:rPr>
                <w:bCs/>
              </w:rPr>
              <w:t xml:space="preserve">Annexes to Quarterly reports </w:t>
            </w:r>
          </w:p>
          <w:p w:rsidR="00757950" w:rsidRPr="00F5017A" w:rsidRDefault="00757950" w:rsidP="007229DD">
            <w:r w:rsidRPr="00F5017A">
              <w:lastRenderedPageBreak/>
              <w:t>Training courses certificates</w:t>
            </w:r>
          </w:p>
          <w:p w:rsidR="00757950" w:rsidRPr="00300F4C" w:rsidRDefault="00757950" w:rsidP="007229DD">
            <w:pPr>
              <w:pStyle w:val="CommentText"/>
              <w:ind w:right="254"/>
              <w:rPr>
                <w:sz w:val="22"/>
                <w:szCs w:val="22"/>
              </w:rPr>
            </w:pPr>
            <w:r w:rsidRPr="00300F4C">
              <w:rPr>
                <w:sz w:val="22"/>
                <w:szCs w:val="22"/>
              </w:rPr>
              <w:t>Courses Evaluation Sheets</w:t>
            </w:r>
          </w:p>
        </w:tc>
        <w:tc>
          <w:tcPr>
            <w:tcW w:w="2036" w:type="dxa"/>
          </w:tcPr>
          <w:p w:rsidR="00757950" w:rsidRPr="00F5017A" w:rsidRDefault="00757950" w:rsidP="007229DD">
            <w:pPr>
              <w:autoSpaceDE w:val="0"/>
              <w:autoSpaceDN w:val="0"/>
              <w:adjustRightInd w:val="0"/>
              <w:spacing w:after="120"/>
              <w:ind w:left="-30" w:right="254"/>
              <w:rPr>
                <w:b/>
              </w:rPr>
            </w:pPr>
            <w:r>
              <w:lastRenderedPageBreak/>
              <w:t xml:space="preserve">Availability of staff from all </w:t>
            </w:r>
            <w:r>
              <w:lastRenderedPageBreak/>
              <w:t>beneficiaries institutions</w:t>
            </w:r>
          </w:p>
        </w:tc>
      </w:tr>
      <w:tr w:rsidR="00757950" w:rsidRPr="00F5017A" w:rsidTr="007229DD">
        <w:tc>
          <w:tcPr>
            <w:tcW w:w="14142" w:type="dxa"/>
            <w:gridSpan w:val="7"/>
            <w:shd w:val="clear" w:color="auto" w:fill="E6E6E6"/>
          </w:tcPr>
          <w:p w:rsidR="00757950" w:rsidRPr="00F5017A" w:rsidRDefault="00757950" w:rsidP="007229DD">
            <w:pPr>
              <w:pStyle w:val="Default"/>
              <w:spacing w:after="120"/>
              <w:rPr>
                <w:sz w:val="22"/>
                <w:szCs w:val="22"/>
              </w:rPr>
            </w:pPr>
            <w:r>
              <w:rPr>
                <w:b/>
                <w:bCs/>
                <w:sz w:val="22"/>
                <w:szCs w:val="22"/>
              </w:rPr>
              <w:lastRenderedPageBreak/>
              <w:t>Action 2</w:t>
            </w:r>
            <w:r w:rsidRPr="00F5017A">
              <w:rPr>
                <w:b/>
                <w:bCs/>
                <w:sz w:val="22"/>
                <w:szCs w:val="22"/>
              </w:rPr>
              <w:t xml:space="preserve">. </w:t>
            </w:r>
            <w:r>
              <w:rPr>
                <w:b/>
                <w:bCs/>
                <w:sz w:val="22"/>
                <w:szCs w:val="22"/>
              </w:rPr>
              <w:t>Surveillance and monitoring</w:t>
            </w:r>
          </w:p>
        </w:tc>
      </w:tr>
      <w:tr w:rsidR="00757950" w:rsidRPr="00F5017A" w:rsidTr="007229DD">
        <w:trPr>
          <w:trHeight w:val="1176"/>
        </w:trPr>
        <w:tc>
          <w:tcPr>
            <w:tcW w:w="3085" w:type="dxa"/>
          </w:tcPr>
          <w:p w:rsidR="00757950" w:rsidRPr="00F5017A" w:rsidRDefault="00757950" w:rsidP="007229DD">
            <w:pPr>
              <w:pStyle w:val="Default"/>
              <w:rPr>
                <w:sz w:val="22"/>
                <w:szCs w:val="22"/>
              </w:rPr>
            </w:pPr>
            <w:r w:rsidRPr="00F5017A">
              <w:rPr>
                <w:sz w:val="22"/>
                <w:szCs w:val="22"/>
              </w:rPr>
              <w:t xml:space="preserve">3.1. Prepare surveillance and monitoring programs on harmful organisms in accordance with the EU legislation and in line with International Plant Protection Convention (IPPC) and European and Mediterranean Plant Protection Organization (EPPO) standards </w:t>
            </w:r>
          </w:p>
          <w:p w:rsidR="00757950" w:rsidRPr="00F5017A" w:rsidRDefault="00757950" w:rsidP="007229DD">
            <w:pPr>
              <w:ind w:right="254"/>
            </w:pPr>
          </w:p>
        </w:tc>
        <w:tc>
          <w:tcPr>
            <w:tcW w:w="2410" w:type="dxa"/>
          </w:tcPr>
          <w:p w:rsidR="00757950" w:rsidRPr="00F5017A" w:rsidRDefault="00757950" w:rsidP="007229DD"/>
        </w:tc>
        <w:tc>
          <w:tcPr>
            <w:tcW w:w="3685" w:type="dxa"/>
            <w:gridSpan w:val="3"/>
          </w:tcPr>
          <w:p w:rsidR="00757950" w:rsidRPr="00F5017A" w:rsidRDefault="00757950" w:rsidP="007229DD">
            <w:pPr>
              <w:spacing w:after="60"/>
            </w:pPr>
            <w:r w:rsidRPr="00A00FDB">
              <w:t>3.1) A surveillance and monitoring program related to the major harmful organisms (at least 20 organisms) and main crops relevant for BiH is delivered</w:t>
            </w:r>
            <w:r w:rsidRPr="00F5017A">
              <w:t xml:space="preserve"> </w:t>
            </w:r>
          </w:p>
        </w:tc>
        <w:tc>
          <w:tcPr>
            <w:tcW w:w="2926" w:type="dxa"/>
          </w:tcPr>
          <w:p w:rsidR="00757950" w:rsidRPr="00F5017A" w:rsidRDefault="00757950" w:rsidP="007229DD">
            <w:pPr>
              <w:pStyle w:val="CommentText"/>
              <w:ind w:right="254"/>
              <w:rPr>
                <w:sz w:val="22"/>
                <w:szCs w:val="22"/>
                <w:lang w:val="en-GB"/>
              </w:rPr>
            </w:pPr>
            <w:r w:rsidRPr="00F5017A">
              <w:rPr>
                <w:sz w:val="22"/>
                <w:szCs w:val="22"/>
                <w:lang w:val="en-GB"/>
              </w:rPr>
              <w:t>Annexes to Mission reports</w:t>
            </w:r>
          </w:p>
          <w:p w:rsidR="00757950" w:rsidRDefault="00757950" w:rsidP="007229DD">
            <w:r w:rsidRPr="00F5017A">
              <w:t>Annexes to Quarterly report</w:t>
            </w:r>
            <w:r>
              <w:t>s</w:t>
            </w:r>
          </w:p>
          <w:p w:rsidR="00757950" w:rsidRPr="00F5017A" w:rsidRDefault="00757950" w:rsidP="007229DD"/>
        </w:tc>
        <w:tc>
          <w:tcPr>
            <w:tcW w:w="2036" w:type="dxa"/>
          </w:tcPr>
          <w:p w:rsidR="00757950" w:rsidRDefault="00757950" w:rsidP="007229DD">
            <w:pPr>
              <w:spacing w:after="120"/>
              <w:ind w:right="254"/>
            </w:pPr>
            <w:r>
              <w:t>Availability of staff from all beneficiaries institutions</w:t>
            </w:r>
          </w:p>
          <w:p w:rsidR="00757950" w:rsidRPr="00F5017A" w:rsidRDefault="00757950" w:rsidP="007229DD">
            <w:pPr>
              <w:spacing w:after="120"/>
              <w:ind w:right="254"/>
            </w:pPr>
            <w:r>
              <w:t xml:space="preserve">Preliminary knowledge on distribution of harmful organisms </w:t>
            </w:r>
          </w:p>
        </w:tc>
      </w:tr>
      <w:tr w:rsidR="00757950" w:rsidRPr="00F5017A" w:rsidTr="007229DD">
        <w:trPr>
          <w:trHeight w:val="885"/>
        </w:trPr>
        <w:tc>
          <w:tcPr>
            <w:tcW w:w="3085" w:type="dxa"/>
            <w:vMerge w:val="restart"/>
          </w:tcPr>
          <w:p w:rsidR="00757950" w:rsidRPr="00F5017A" w:rsidRDefault="00757950" w:rsidP="007229DD">
            <w:pPr>
              <w:pStyle w:val="Default"/>
              <w:rPr>
                <w:sz w:val="22"/>
                <w:szCs w:val="22"/>
              </w:rPr>
            </w:pPr>
            <w:r w:rsidRPr="00F5017A">
              <w:rPr>
                <w:sz w:val="22"/>
                <w:szCs w:val="22"/>
              </w:rPr>
              <w:t xml:space="preserve">3.2. Train phytosanitary services on risk management </w:t>
            </w:r>
          </w:p>
          <w:p w:rsidR="00757950" w:rsidRPr="00F5017A" w:rsidRDefault="00757950" w:rsidP="007229DD">
            <w:pPr>
              <w:ind w:right="254"/>
            </w:pPr>
          </w:p>
        </w:tc>
        <w:tc>
          <w:tcPr>
            <w:tcW w:w="2410" w:type="dxa"/>
          </w:tcPr>
          <w:p w:rsidR="00757950" w:rsidRPr="00F5017A" w:rsidRDefault="00757950" w:rsidP="007229DD">
            <w:pPr>
              <w:pStyle w:val="Body"/>
              <w:spacing w:after="0"/>
              <w:rPr>
                <w:rFonts w:ascii="Times New Roman" w:hAnsi="Times New Roman"/>
                <w:sz w:val="22"/>
                <w:szCs w:val="22"/>
                <w:lang w:val="en-GB"/>
              </w:rPr>
            </w:pPr>
            <w:r w:rsidRPr="00F5017A">
              <w:rPr>
                <w:rFonts w:ascii="Times New Roman" w:hAnsi="Times New Roman"/>
                <w:sz w:val="22"/>
                <w:szCs w:val="22"/>
                <w:lang w:val="en-GB"/>
              </w:rPr>
              <w:t>3.2.1 Procedures and trainings on phytosanitary risk management</w:t>
            </w: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3.2.1.1) Developing a procedure for risk management deriving from phytosanitary threats </w:t>
            </w:r>
          </w:p>
          <w:p w:rsidR="00757950" w:rsidRPr="00F5017A" w:rsidRDefault="00757950" w:rsidP="007229DD">
            <w:pPr>
              <w:pStyle w:val="Default"/>
              <w:spacing w:after="60"/>
              <w:rPr>
                <w:sz w:val="22"/>
                <w:szCs w:val="22"/>
              </w:rPr>
            </w:pPr>
            <w:r w:rsidRPr="00F5017A">
              <w:rPr>
                <w:sz w:val="22"/>
                <w:szCs w:val="22"/>
              </w:rPr>
              <w:t xml:space="preserve">3.2.1.2) Practical training on PRA and risk management is carried out </w:t>
            </w:r>
          </w:p>
        </w:tc>
        <w:tc>
          <w:tcPr>
            <w:tcW w:w="2926" w:type="dxa"/>
            <w:vMerge w:val="restart"/>
          </w:tcPr>
          <w:p w:rsidR="00757950" w:rsidRPr="00F5017A" w:rsidRDefault="00757950" w:rsidP="007229DD">
            <w:pPr>
              <w:pStyle w:val="CommentText"/>
              <w:ind w:right="254"/>
              <w:rPr>
                <w:sz w:val="22"/>
                <w:szCs w:val="22"/>
                <w:lang w:val="en-GB"/>
              </w:rPr>
            </w:pPr>
            <w:r w:rsidRPr="00F5017A">
              <w:rPr>
                <w:sz w:val="22"/>
                <w:szCs w:val="22"/>
                <w:lang w:val="en-GB"/>
              </w:rPr>
              <w:t>Annexes to Mission reports</w:t>
            </w:r>
          </w:p>
          <w:p w:rsidR="00757950" w:rsidRDefault="00757950" w:rsidP="007229DD">
            <w:r w:rsidRPr="00F5017A">
              <w:t>Annexes to Quarterly report</w:t>
            </w:r>
            <w:r>
              <w:t>s</w:t>
            </w:r>
            <w:r w:rsidRPr="00F5017A">
              <w:t xml:space="preserve"> </w:t>
            </w:r>
          </w:p>
          <w:p w:rsidR="00757950" w:rsidRPr="00F5017A" w:rsidRDefault="00757950" w:rsidP="007229DD">
            <w:r w:rsidRPr="00F5017A">
              <w:t>Study visit report</w:t>
            </w:r>
          </w:p>
          <w:p w:rsidR="00757950" w:rsidRPr="00F5017A" w:rsidRDefault="00757950" w:rsidP="007229DD"/>
        </w:tc>
        <w:tc>
          <w:tcPr>
            <w:tcW w:w="2036" w:type="dxa"/>
            <w:vMerge w:val="restart"/>
          </w:tcPr>
          <w:p w:rsidR="00757950" w:rsidRPr="00F5017A" w:rsidRDefault="00757950" w:rsidP="007229DD">
            <w:pPr>
              <w:spacing w:after="120"/>
              <w:ind w:right="254"/>
            </w:pPr>
            <w:r>
              <w:t>Availability of staff from all beneficiaries institutions</w:t>
            </w:r>
          </w:p>
        </w:tc>
      </w:tr>
      <w:tr w:rsidR="00757950" w:rsidRPr="00F5017A" w:rsidTr="007229DD">
        <w:trPr>
          <w:trHeight w:val="885"/>
        </w:trPr>
        <w:tc>
          <w:tcPr>
            <w:tcW w:w="3085" w:type="dxa"/>
            <w:vMerge/>
          </w:tcPr>
          <w:p w:rsidR="00757950" w:rsidRPr="00F5017A" w:rsidRDefault="00757950" w:rsidP="007229DD">
            <w:pPr>
              <w:pStyle w:val="Default"/>
              <w:rPr>
                <w:sz w:val="22"/>
                <w:szCs w:val="22"/>
              </w:rPr>
            </w:pPr>
          </w:p>
        </w:tc>
        <w:tc>
          <w:tcPr>
            <w:tcW w:w="2410" w:type="dxa"/>
          </w:tcPr>
          <w:p w:rsidR="00757950" w:rsidRPr="00F5017A" w:rsidRDefault="00757950" w:rsidP="007229DD">
            <w:pPr>
              <w:pStyle w:val="Body"/>
              <w:spacing w:after="0"/>
              <w:rPr>
                <w:rFonts w:ascii="Times New Roman" w:hAnsi="Times New Roman"/>
                <w:sz w:val="22"/>
                <w:szCs w:val="22"/>
                <w:lang w:val="en-GB"/>
              </w:rPr>
            </w:pPr>
            <w:r w:rsidRPr="00F5017A">
              <w:rPr>
                <w:rFonts w:ascii="Times New Roman" w:hAnsi="Times New Roman"/>
                <w:sz w:val="22"/>
                <w:szCs w:val="22"/>
                <w:lang w:val="en-GB"/>
              </w:rPr>
              <w:t>3.2.2 Study visit on phytosanitary risk management</w:t>
            </w: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3.2.3) A study visit is organized for </w:t>
            </w:r>
            <w:r>
              <w:rPr>
                <w:sz w:val="22"/>
                <w:szCs w:val="22"/>
              </w:rPr>
              <w:t xml:space="preserve">six </w:t>
            </w:r>
            <w:r w:rsidRPr="00F5017A">
              <w:rPr>
                <w:sz w:val="22"/>
                <w:szCs w:val="22"/>
              </w:rPr>
              <w:t>staff involved in surveillance and monitoring</w:t>
            </w:r>
          </w:p>
        </w:tc>
        <w:tc>
          <w:tcPr>
            <w:tcW w:w="2926" w:type="dxa"/>
            <w:vMerge/>
          </w:tcPr>
          <w:p w:rsidR="00757950" w:rsidRPr="00F5017A" w:rsidRDefault="00757950" w:rsidP="007229DD">
            <w:pPr>
              <w:pStyle w:val="CommentText"/>
              <w:ind w:right="254"/>
              <w:rPr>
                <w:sz w:val="22"/>
                <w:szCs w:val="22"/>
                <w:lang w:val="en-GB"/>
              </w:rPr>
            </w:pPr>
          </w:p>
        </w:tc>
        <w:tc>
          <w:tcPr>
            <w:tcW w:w="2036" w:type="dxa"/>
            <w:vMerge/>
          </w:tcPr>
          <w:p w:rsidR="00757950" w:rsidRPr="00F5017A" w:rsidRDefault="00757950" w:rsidP="007229DD">
            <w:pPr>
              <w:spacing w:after="120"/>
              <w:ind w:right="254"/>
            </w:pPr>
          </w:p>
        </w:tc>
      </w:tr>
      <w:tr w:rsidR="00757950" w:rsidRPr="00F5017A" w:rsidTr="007229DD">
        <w:trPr>
          <w:trHeight w:val="1965"/>
        </w:trPr>
        <w:tc>
          <w:tcPr>
            <w:tcW w:w="3085" w:type="dxa"/>
            <w:vMerge w:val="restart"/>
          </w:tcPr>
          <w:p w:rsidR="00757950" w:rsidRPr="00F5017A" w:rsidRDefault="00757950" w:rsidP="007229DD">
            <w:pPr>
              <w:pStyle w:val="Default"/>
              <w:rPr>
                <w:sz w:val="22"/>
                <w:szCs w:val="22"/>
              </w:rPr>
            </w:pPr>
            <w:r w:rsidRPr="00F5017A">
              <w:rPr>
                <w:sz w:val="22"/>
                <w:szCs w:val="22"/>
              </w:rPr>
              <w:t xml:space="preserve">3.3. Train laboratory staff on laboratory methods for diagnosing harmful organisms </w:t>
            </w:r>
          </w:p>
          <w:p w:rsidR="00757950" w:rsidRPr="00F5017A" w:rsidRDefault="00757950" w:rsidP="007229DD">
            <w:pPr>
              <w:ind w:right="254"/>
            </w:pPr>
          </w:p>
        </w:tc>
        <w:tc>
          <w:tcPr>
            <w:tcW w:w="2410" w:type="dxa"/>
          </w:tcPr>
          <w:p w:rsidR="00757950" w:rsidRPr="00F5017A" w:rsidRDefault="00757950" w:rsidP="007229DD">
            <w:pPr>
              <w:pStyle w:val="Body"/>
              <w:spacing w:after="0"/>
              <w:rPr>
                <w:rFonts w:ascii="Times New Roman" w:hAnsi="Times New Roman"/>
                <w:sz w:val="22"/>
                <w:szCs w:val="22"/>
                <w:lang w:val="en-GB"/>
              </w:rPr>
            </w:pPr>
            <w:r w:rsidRPr="00F5017A">
              <w:rPr>
                <w:rFonts w:ascii="Times New Roman" w:hAnsi="Times New Roman"/>
                <w:sz w:val="22"/>
                <w:szCs w:val="22"/>
                <w:lang w:val="en-GB"/>
              </w:rPr>
              <w:t>3.3.1 Procedures and trainings on phytosanitary laboratory analyses</w:t>
            </w: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3.3.1.1) Developing short instruction manuals and procedures for major laboratory </w:t>
            </w:r>
            <w:r>
              <w:rPr>
                <w:sz w:val="22"/>
                <w:szCs w:val="22"/>
              </w:rPr>
              <w:t xml:space="preserve">phytosanitary </w:t>
            </w:r>
            <w:r w:rsidRPr="00F5017A">
              <w:rPr>
                <w:sz w:val="22"/>
                <w:szCs w:val="22"/>
              </w:rPr>
              <w:t xml:space="preserve">analyses according to ISO 17025 standard </w:t>
            </w:r>
          </w:p>
          <w:p w:rsidR="00757950" w:rsidRPr="00F5017A" w:rsidRDefault="00757950" w:rsidP="007229DD">
            <w:pPr>
              <w:pStyle w:val="Default"/>
              <w:spacing w:after="60"/>
              <w:rPr>
                <w:sz w:val="22"/>
                <w:szCs w:val="22"/>
              </w:rPr>
            </w:pPr>
            <w:r w:rsidRPr="00F5017A">
              <w:rPr>
                <w:sz w:val="22"/>
                <w:szCs w:val="22"/>
              </w:rPr>
              <w:t xml:space="preserve">3.3.1.2) Laboratory training on diagnosis of different kinds of harmful organisms </w:t>
            </w:r>
          </w:p>
          <w:p w:rsidR="00757950" w:rsidRPr="00F5017A" w:rsidRDefault="00757950" w:rsidP="007229DD">
            <w:pPr>
              <w:spacing w:after="60"/>
            </w:pPr>
          </w:p>
        </w:tc>
        <w:tc>
          <w:tcPr>
            <w:tcW w:w="2926" w:type="dxa"/>
            <w:vMerge w:val="restart"/>
          </w:tcPr>
          <w:p w:rsidR="00757950" w:rsidRPr="00F5017A" w:rsidRDefault="00757950" w:rsidP="007229DD">
            <w:pPr>
              <w:pStyle w:val="CommentText"/>
              <w:ind w:right="34"/>
              <w:rPr>
                <w:sz w:val="22"/>
                <w:szCs w:val="22"/>
                <w:lang w:val="en-GB"/>
              </w:rPr>
            </w:pPr>
            <w:r w:rsidRPr="00F5017A">
              <w:rPr>
                <w:sz w:val="22"/>
                <w:szCs w:val="22"/>
                <w:lang w:val="en-GB"/>
              </w:rPr>
              <w:t>Annexes to Mission reports</w:t>
            </w:r>
          </w:p>
          <w:p w:rsidR="00757950" w:rsidRPr="00F5017A" w:rsidRDefault="00757950" w:rsidP="007229DD">
            <w:r w:rsidRPr="00F5017A">
              <w:t>Annexes to Quarterly reports</w:t>
            </w:r>
          </w:p>
          <w:p w:rsidR="00757950" w:rsidRDefault="00757950" w:rsidP="007229DD">
            <w:r>
              <w:t xml:space="preserve">Laboratories Quality Manual </w:t>
            </w:r>
          </w:p>
          <w:p w:rsidR="00757950" w:rsidRPr="00F5017A" w:rsidRDefault="00757950" w:rsidP="007229DD">
            <w:r w:rsidRPr="00F5017A">
              <w:t>Training courses certificates</w:t>
            </w:r>
          </w:p>
          <w:p w:rsidR="00757950" w:rsidRPr="00F5017A" w:rsidRDefault="00757950" w:rsidP="007229DD">
            <w:r w:rsidRPr="00F5017A">
              <w:t>Courses Evaluation sheets</w:t>
            </w:r>
          </w:p>
          <w:p w:rsidR="00757950" w:rsidRPr="00F5017A" w:rsidRDefault="00757950" w:rsidP="007229DD">
            <w:r w:rsidRPr="00F5017A">
              <w:t>Study visit report</w:t>
            </w:r>
          </w:p>
          <w:p w:rsidR="00757950" w:rsidRPr="00F5017A" w:rsidRDefault="00757950" w:rsidP="007229DD"/>
        </w:tc>
        <w:tc>
          <w:tcPr>
            <w:tcW w:w="2036" w:type="dxa"/>
            <w:vMerge w:val="restart"/>
          </w:tcPr>
          <w:p w:rsidR="00757950" w:rsidRPr="00F5017A" w:rsidRDefault="00757950" w:rsidP="007229DD">
            <w:pPr>
              <w:spacing w:after="120"/>
              <w:ind w:right="254"/>
            </w:pPr>
            <w:r>
              <w:t>Availability of staff from all beneficiaries institutions dealing with phytosanitary laboratory analysis</w:t>
            </w:r>
          </w:p>
        </w:tc>
      </w:tr>
      <w:tr w:rsidR="00757950" w:rsidRPr="00F5017A" w:rsidTr="007229DD">
        <w:trPr>
          <w:trHeight w:val="841"/>
        </w:trPr>
        <w:tc>
          <w:tcPr>
            <w:tcW w:w="3085" w:type="dxa"/>
            <w:vMerge/>
          </w:tcPr>
          <w:p w:rsidR="00757950" w:rsidRPr="00F5017A" w:rsidRDefault="00757950" w:rsidP="007229DD">
            <w:pPr>
              <w:pStyle w:val="Default"/>
              <w:rPr>
                <w:sz w:val="22"/>
                <w:szCs w:val="22"/>
              </w:rPr>
            </w:pPr>
          </w:p>
        </w:tc>
        <w:tc>
          <w:tcPr>
            <w:tcW w:w="2410" w:type="dxa"/>
          </w:tcPr>
          <w:p w:rsidR="00757950" w:rsidRPr="00F5017A" w:rsidRDefault="00757950" w:rsidP="007229DD">
            <w:pPr>
              <w:pStyle w:val="Body"/>
              <w:spacing w:after="0"/>
              <w:rPr>
                <w:rFonts w:ascii="Times New Roman" w:hAnsi="Times New Roman"/>
                <w:sz w:val="22"/>
                <w:szCs w:val="22"/>
                <w:lang w:val="en-GB"/>
              </w:rPr>
            </w:pPr>
            <w:r w:rsidRPr="00F5017A">
              <w:rPr>
                <w:rFonts w:ascii="Times New Roman" w:hAnsi="Times New Roman"/>
                <w:sz w:val="22"/>
                <w:szCs w:val="22"/>
                <w:lang w:val="en-GB"/>
              </w:rPr>
              <w:t>3.3.2 Study visit for phytosanitary laboratory diagnosis</w:t>
            </w:r>
          </w:p>
        </w:tc>
        <w:tc>
          <w:tcPr>
            <w:tcW w:w="3685" w:type="dxa"/>
            <w:gridSpan w:val="3"/>
          </w:tcPr>
          <w:p w:rsidR="00757950" w:rsidRPr="00F5017A" w:rsidRDefault="00757950" w:rsidP="007229DD">
            <w:pPr>
              <w:pStyle w:val="Default"/>
              <w:spacing w:after="60"/>
              <w:rPr>
                <w:sz w:val="22"/>
                <w:szCs w:val="22"/>
              </w:rPr>
            </w:pPr>
            <w:r>
              <w:rPr>
                <w:sz w:val="22"/>
                <w:szCs w:val="22"/>
              </w:rPr>
              <w:t>3.3.2</w:t>
            </w:r>
            <w:r w:rsidRPr="00F5017A">
              <w:rPr>
                <w:sz w:val="22"/>
                <w:szCs w:val="22"/>
              </w:rPr>
              <w:t xml:space="preserve">) A study visit to a </w:t>
            </w:r>
            <w:r>
              <w:rPr>
                <w:sz w:val="22"/>
                <w:szCs w:val="22"/>
              </w:rPr>
              <w:t xml:space="preserve">phytosanitary </w:t>
            </w:r>
            <w:r w:rsidRPr="00F5017A">
              <w:rPr>
                <w:sz w:val="22"/>
                <w:szCs w:val="22"/>
              </w:rPr>
              <w:t xml:space="preserve">laboratory for on-site training of </w:t>
            </w:r>
            <w:r>
              <w:rPr>
                <w:sz w:val="22"/>
                <w:szCs w:val="22"/>
              </w:rPr>
              <w:t xml:space="preserve">six </w:t>
            </w:r>
            <w:r w:rsidRPr="00F5017A">
              <w:rPr>
                <w:sz w:val="22"/>
                <w:szCs w:val="22"/>
              </w:rPr>
              <w:t>selected staff</w:t>
            </w:r>
          </w:p>
        </w:tc>
        <w:tc>
          <w:tcPr>
            <w:tcW w:w="2926" w:type="dxa"/>
            <w:vMerge/>
          </w:tcPr>
          <w:p w:rsidR="00757950" w:rsidRPr="00F5017A" w:rsidRDefault="00757950" w:rsidP="007229DD">
            <w:pPr>
              <w:pStyle w:val="CommentText"/>
              <w:ind w:right="254"/>
              <w:rPr>
                <w:sz w:val="22"/>
                <w:szCs w:val="22"/>
                <w:lang w:val="en-GB"/>
              </w:rPr>
            </w:pPr>
          </w:p>
        </w:tc>
        <w:tc>
          <w:tcPr>
            <w:tcW w:w="2036" w:type="dxa"/>
            <w:vMerge/>
          </w:tcPr>
          <w:p w:rsidR="00757950" w:rsidRPr="00F5017A" w:rsidRDefault="00757950" w:rsidP="007229DD">
            <w:pPr>
              <w:spacing w:after="120"/>
              <w:ind w:right="254"/>
            </w:pPr>
          </w:p>
        </w:tc>
      </w:tr>
      <w:tr w:rsidR="00757950" w:rsidRPr="00F5017A" w:rsidTr="007229DD">
        <w:trPr>
          <w:trHeight w:val="132"/>
        </w:trPr>
        <w:tc>
          <w:tcPr>
            <w:tcW w:w="3085" w:type="dxa"/>
          </w:tcPr>
          <w:p w:rsidR="00757950" w:rsidRPr="00F5017A" w:rsidRDefault="00757950" w:rsidP="007229DD">
            <w:pPr>
              <w:ind w:right="254"/>
            </w:pPr>
            <w:r w:rsidRPr="00F5017A">
              <w:lastRenderedPageBreak/>
              <w:t>3.4. Draft regulations to support uniform</w:t>
            </w:r>
            <w:r w:rsidRPr="006440FC">
              <w:t xml:space="preserve"> prices for laboratory testing and phytosanitary inspection</w:t>
            </w:r>
            <w:r w:rsidRPr="00F5017A">
              <w:t xml:space="preserve"> </w:t>
            </w:r>
          </w:p>
        </w:tc>
        <w:tc>
          <w:tcPr>
            <w:tcW w:w="2410" w:type="dxa"/>
          </w:tcPr>
          <w:p w:rsidR="00757950" w:rsidRPr="00F5017A" w:rsidRDefault="00757950" w:rsidP="007229DD"/>
        </w:tc>
        <w:tc>
          <w:tcPr>
            <w:tcW w:w="3685" w:type="dxa"/>
            <w:gridSpan w:val="3"/>
          </w:tcPr>
          <w:p w:rsidR="00757950" w:rsidRDefault="00757950" w:rsidP="007229DD">
            <w:pPr>
              <w:pStyle w:val="Body"/>
              <w:spacing w:after="0"/>
              <w:rPr>
                <w:rFonts w:ascii="Times New Roman" w:hAnsi="Times New Roman"/>
                <w:sz w:val="22"/>
                <w:szCs w:val="22"/>
                <w:lang w:val="en-GB"/>
              </w:rPr>
            </w:pPr>
            <w:r w:rsidRPr="00A660D3">
              <w:rPr>
                <w:rFonts w:ascii="Times New Roman" w:hAnsi="Times New Roman"/>
                <w:sz w:val="22"/>
                <w:szCs w:val="22"/>
                <w:lang w:val="en-GB"/>
              </w:rPr>
              <w:t>3.4</w:t>
            </w:r>
            <w:r>
              <w:rPr>
                <w:rFonts w:ascii="Times New Roman" w:hAnsi="Times New Roman"/>
                <w:sz w:val="22"/>
                <w:szCs w:val="22"/>
                <w:lang w:val="en-GB"/>
              </w:rPr>
              <w:t>.1</w:t>
            </w:r>
            <w:r w:rsidRPr="00A660D3">
              <w:rPr>
                <w:rFonts w:ascii="Times New Roman" w:hAnsi="Times New Roman"/>
                <w:sz w:val="22"/>
                <w:szCs w:val="22"/>
                <w:lang w:val="en-GB"/>
              </w:rPr>
              <w:t>) The regulation on uniform principles for setting laboratory analyses prices is prepared</w:t>
            </w:r>
          </w:p>
          <w:p w:rsidR="00757950" w:rsidRPr="009B28C4" w:rsidRDefault="00757950" w:rsidP="007229DD">
            <w:pPr>
              <w:pStyle w:val="Default"/>
              <w:spacing w:after="60"/>
              <w:rPr>
                <w:sz w:val="22"/>
                <w:szCs w:val="22"/>
              </w:rPr>
            </w:pPr>
            <w:r>
              <w:rPr>
                <w:sz w:val="22"/>
                <w:szCs w:val="22"/>
              </w:rPr>
              <w:t xml:space="preserve">3.4.2) </w:t>
            </w:r>
            <w:r w:rsidRPr="00A660D3">
              <w:rPr>
                <w:sz w:val="22"/>
                <w:szCs w:val="22"/>
              </w:rPr>
              <w:t xml:space="preserve">The regulation on uniform principles for </w:t>
            </w:r>
            <w:r>
              <w:rPr>
                <w:sz w:val="22"/>
                <w:szCs w:val="22"/>
              </w:rPr>
              <w:t xml:space="preserve">phytosanitary inspection </w:t>
            </w:r>
            <w:r w:rsidRPr="00A660D3">
              <w:rPr>
                <w:sz w:val="22"/>
                <w:szCs w:val="22"/>
              </w:rPr>
              <w:t>prices is prepared</w:t>
            </w:r>
          </w:p>
        </w:tc>
        <w:tc>
          <w:tcPr>
            <w:tcW w:w="2926" w:type="dxa"/>
          </w:tcPr>
          <w:p w:rsidR="00757950" w:rsidRPr="00F5017A" w:rsidRDefault="00757950" w:rsidP="007229DD">
            <w:pPr>
              <w:pStyle w:val="CommentText"/>
              <w:ind w:right="254"/>
              <w:rPr>
                <w:sz w:val="22"/>
                <w:szCs w:val="22"/>
                <w:lang w:val="en-GB"/>
              </w:rPr>
            </w:pPr>
            <w:r w:rsidRPr="00F5017A">
              <w:rPr>
                <w:sz w:val="22"/>
                <w:szCs w:val="22"/>
                <w:lang w:val="en-GB"/>
              </w:rPr>
              <w:t>Annexes to Mission reports</w:t>
            </w:r>
          </w:p>
          <w:p w:rsidR="00757950" w:rsidRDefault="00757950" w:rsidP="007229DD">
            <w:r w:rsidRPr="00F5017A">
              <w:t>Annexes to Quarterly reports</w:t>
            </w:r>
          </w:p>
          <w:p w:rsidR="00757950" w:rsidRPr="00F5017A" w:rsidRDefault="00757950" w:rsidP="007229DD">
            <w:r w:rsidRPr="00B3607E">
              <w:t>PHPA website</w:t>
            </w:r>
          </w:p>
        </w:tc>
        <w:tc>
          <w:tcPr>
            <w:tcW w:w="2036" w:type="dxa"/>
          </w:tcPr>
          <w:p w:rsidR="00757950" w:rsidRPr="00F5017A" w:rsidRDefault="00757950" w:rsidP="007229DD">
            <w:pPr>
              <w:spacing w:after="120"/>
              <w:ind w:right="254"/>
            </w:pPr>
          </w:p>
        </w:tc>
      </w:tr>
      <w:tr w:rsidR="00757950" w:rsidRPr="00F5017A" w:rsidTr="007229DD">
        <w:tc>
          <w:tcPr>
            <w:tcW w:w="14142" w:type="dxa"/>
            <w:gridSpan w:val="7"/>
            <w:shd w:val="clear" w:color="auto" w:fill="E6E6E6"/>
          </w:tcPr>
          <w:p w:rsidR="00757950" w:rsidRPr="00F5017A" w:rsidRDefault="00757950" w:rsidP="007229DD">
            <w:pPr>
              <w:pStyle w:val="Default"/>
              <w:spacing w:after="120"/>
              <w:rPr>
                <w:sz w:val="22"/>
                <w:szCs w:val="22"/>
              </w:rPr>
            </w:pPr>
            <w:r>
              <w:rPr>
                <w:b/>
                <w:bCs/>
                <w:sz w:val="22"/>
                <w:szCs w:val="22"/>
              </w:rPr>
              <w:t>Action 3</w:t>
            </w:r>
            <w:r w:rsidRPr="00F5017A">
              <w:rPr>
                <w:b/>
                <w:bCs/>
                <w:sz w:val="22"/>
                <w:szCs w:val="22"/>
              </w:rPr>
              <w:t xml:space="preserve">. </w:t>
            </w:r>
            <w:r>
              <w:rPr>
                <w:b/>
                <w:bCs/>
                <w:sz w:val="22"/>
                <w:szCs w:val="22"/>
              </w:rPr>
              <w:t>Coordination of the phytosanitary system</w:t>
            </w:r>
          </w:p>
        </w:tc>
      </w:tr>
      <w:tr w:rsidR="00757950" w:rsidRPr="00F5017A" w:rsidTr="007229DD">
        <w:trPr>
          <w:trHeight w:val="1408"/>
        </w:trPr>
        <w:tc>
          <w:tcPr>
            <w:tcW w:w="3085" w:type="dxa"/>
          </w:tcPr>
          <w:p w:rsidR="00757950" w:rsidRPr="00F5017A" w:rsidRDefault="00757950" w:rsidP="007229DD">
            <w:pPr>
              <w:pStyle w:val="Default"/>
              <w:rPr>
                <w:sz w:val="22"/>
                <w:szCs w:val="22"/>
              </w:rPr>
            </w:pPr>
            <w:r w:rsidRPr="00F5017A">
              <w:rPr>
                <w:sz w:val="22"/>
                <w:szCs w:val="22"/>
              </w:rPr>
              <w:t xml:space="preserve">4.1. Draft secondary legislation as well as a manual for phytosanitary inspectors in accordance with EU legislation and IPPC standards </w:t>
            </w:r>
          </w:p>
        </w:tc>
        <w:tc>
          <w:tcPr>
            <w:tcW w:w="2410" w:type="dxa"/>
          </w:tcPr>
          <w:p w:rsidR="00757950" w:rsidRPr="00F5017A" w:rsidRDefault="00757950" w:rsidP="007229DD"/>
        </w:tc>
        <w:tc>
          <w:tcPr>
            <w:tcW w:w="3685" w:type="dxa"/>
            <w:gridSpan w:val="3"/>
          </w:tcPr>
          <w:p w:rsidR="00757950" w:rsidRDefault="00757950"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4.1) An inspection manual with procedures for carrying on phytosanitary control is prepared</w:t>
            </w:r>
          </w:p>
          <w:p w:rsidR="00757950" w:rsidRPr="00F5017A" w:rsidRDefault="00757950" w:rsidP="007229DD">
            <w:pPr>
              <w:pStyle w:val="Default"/>
              <w:spacing w:after="60"/>
              <w:rPr>
                <w:sz w:val="22"/>
                <w:szCs w:val="22"/>
              </w:rPr>
            </w:pPr>
            <w:r>
              <w:rPr>
                <w:sz w:val="22"/>
                <w:szCs w:val="22"/>
              </w:rPr>
              <w:t>4.2) The manual is edited and printed in at least 200 copies.</w:t>
            </w:r>
          </w:p>
        </w:tc>
        <w:tc>
          <w:tcPr>
            <w:tcW w:w="2926" w:type="dxa"/>
          </w:tcPr>
          <w:p w:rsidR="00757950" w:rsidRPr="00F5017A" w:rsidRDefault="00757950" w:rsidP="007229DD">
            <w:pPr>
              <w:pStyle w:val="CommentText"/>
              <w:ind w:right="254"/>
              <w:rPr>
                <w:sz w:val="22"/>
                <w:szCs w:val="22"/>
                <w:lang w:val="en-GB"/>
              </w:rPr>
            </w:pPr>
            <w:r w:rsidRPr="00F5017A">
              <w:rPr>
                <w:sz w:val="22"/>
                <w:szCs w:val="22"/>
                <w:lang w:val="en-GB"/>
              </w:rPr>
              <w:t>Annexes to Mission reports</w:t>
            </w:r>
          </w:p>
          <w:p w:rsidR="00757950" w:rsidRDefault="00757950" w:rsidP="007229DD">
            <w:r w:rsidRPr="00F5017A">
              <w:t>Annexes to Quarterly and Final reports</w:t>
            </w:r>
          </w:p>
          <w:p w:rsidR="00757950" w:rsidRPr="00F5017A" w:rsidRDefault="00757950" w:rsidP="007229DD">
            <w:r w:rsidRPr="00B3607E">
              <w:t>PHPA website</w:t>
            </w:r>
          </w:p>
        </w:tc>
        <w:tc>
          <w:tcPr>
            <w:tcW w:w="2036" w:type="dxa"/>
          </w:tcPr>
          <w:p w:rsidR="00757950" w:rsidRPr="00F5017A" w:rsidRDefault="00757950" w:rsidP="007229DD">
            <w:pPr>
              <w:spacing w:after="120"/>
              <w:ind w:right="254"/>
            </w:pPr>
            <w:r>
              <w:t>Availability of inspection staff from all beneficiaries institutions</w:t>
            </w:r>
          </w:p>
        </w:tc>
      </w:tr>
      <w:tr w:rsidR="00757950" w:rsidRPr="00F5017A" w:rsidTr="007229DD">
        <w:trPr>
          <w:trHeight w:val="735"/>
        </w:trPr>
        <w:tc>
          <w:tcPr>
            <w:tcW w:w="3085" w:type="dxa"/>
            <w:vMerge w:val="restart"/>
          </w:tcPr>
          <w:p w:rsidR="00757950" w:rsidRPr="00F5017A" w:rsidRDefault="00757950" w:rsidP="007229DD">
            <w:pPr>
              <w:pStyle w:val="Default"/>
              <w:rPr>
                <w:sz w:val="22"/>
                <w:szCs w:val="22"/>
              </w:rPr>
            </w:pPr>
            <w:r w:rsidRPr="00F5017A">
              <w:rPr>
                <w:sz w:val="22"/>
                <w:szCs w:val="22"/>
              </w:rPr>
              <w:t xml:space="preserve">4.2. Train phytosanitary inspectors in accordance with EU requirements including also the inspection at the border inspection points </w:t>
            </w:r>
          </w:p>
          <w:p w:rsidR="00757950" w:rsidRPr="00F5017A" w:rsidRDefault="00757950" w:rsidP="007229DD">
            <w:pPr>
              <w:ind w:right="254"/>
            </w:pPr>
          </w:p>
        </w:tc>
        <w:tc>
          <w:tcPr>
            <w:tcW w:w="2410" w:type="dxa"/>
          </w:tcPr>
          <w:p w:rsidR="00757950" w:rsidRPr="00F5017A" w:rsidRDefault="00757950" w:rsidP="007229DD">
            <w:r w:rsidRPr="00F5017A">
              <w:t>4.2.1 Trainings on inspection</w:t>
            </w:r>
          </w:p>
        </w:tc>
        <w:tc>
          <w:tcPr>
            <w:tcW w:w="3685" w:type="dxa"/>
            <w:gridSpan w:val="3"/>
          </w:tcPr>
          <w:p w:rsidR="00757950" w:rsidRPr="00F5017A" w:rsidRDefault="00757950" w:rsidP="007229DD">
            <w:pPr>
              <w:pStyle w:val="Default"/>
              <w:spacing w:after="60"/>
              <w:rPr>
                <w:sz w:val="22"/>
                <w:szCs w:val="22"/>
              </w:rPr>
            </w:pPr>
            <w:r>
              <w:rPr>
                <w:sz w:val="22"/>
                <w:szCs w:val="22"/>
              </w:rPr>
              <w:t>4.2.1</w:t>
            </w:r>
            <w:r w:rsidRPr="00F5017A">
              <w:rPr>
                <w:sz w:val="22"/>
                <w:szCs w:val="22"/>
              </w:rPr>
              <w:t>) Theoretical and practical trainings for inspectors are performed</w:t>
            </w:r>
            <w:r>
              <w:rPr>
                <w:sz w:val="22"/>
                <w:szCs w:val="22"/>
              </w:rPr>
              <w:t xml:space="preserve"> for at least 100 staff</w:t>
            </w:r>
            <w:r w:rsidRPr="00F5017A">
              <w:rPr>
                <w:sz w:val="22"/>
                <w:szCs w:val="22"/>
              </w:rPr>
              <w:t xml:space="preserve"> </w:t>
            </w:r>
          </w:p>
          <w:p w:rsidR="00757950" w:rsidRPr="00F5017A" w:rsidRDefault="00757950" w:rsidP="007229DD">
            <w:pPr>
              <w:spacing w:after="60"/>
            </w:pPr>
          </w:p>
        </w:tc>
        <w:tc>
          <w:tcPr>
            <w:tcW w:w="2926" w:type="dxa"/>
            <w:vMerge w:val="restart"/>
          </w:tcPr>
          <w:p w:rsidR="00757950" w:rsidRPr="00F5017A" w:rsidRDefault="00757950" w:rsidP="007229DD">
            <w:pPr>
              <w:pStyle w:val="CommentText"/>
              <w:ind w:right="254"/>
              <w:rPr>
                <w:sz w:val="22"/>
                <w:szCs w:val="22"/>
                <w:lang w:val="en-GB"/>
              </w:rPr>
            </w:pPr>
            <w:r w:rsidRPr="00F5017A">
              <w:rPr>
                <w:sz w:val="22"/>
                <w:szCs w:val="22"/>
                <w:lang w:val="en-GB"/>
              </w:rPr>
              <w:t>Annexes to Mission reports</w:t>
            </w:r>
          </w:p>
          <w:p w:rsidR="00757950" w:rsidRDefault="00757950" w:rsidP="007229DD">
            <w:r w:rsidRPr="00F5017A">
              <w:t>Annexes to Quarterly reports</w:t>
            </w:r>
          </w:p>
          <w:p w:rsidR="00757950" w:rsidRPr="00F5017A" w:rsidRDefault="00757950" w:rsidP="007229DD">
            <w:r w:rsidRPr="00F5017A">
              <w:t>Training courses certificates</w:t>
            </w:r>
          </w:p>
          <w:p w:rsidR="00757950" w:rsidRPr="00F5017A" w:rsidRDefault="00757950" w:rsidP="007229DD">
            <w:r w:rsidRPr="00F5017A">
              <w:t>Courses Evaluation sheets</w:t>
            </w:r>
          </w:p>
          <w:p w:rsidR="00757950" w:rsidRPr="00F5017A" w:rsidRDefault="00757950" w:rsidP="007229DD">
            <w:r w:rsidRPr="00F5017A">
              <w:t>Study visit report</w:t>
            </w:r>
          </w:p>
        </w:tc>
        <w:tc>
          <w:tcPr>
            <w:tcW w:w="2036" w:type="dxa"/>
            <w:vMerge w:val="restart"/>
          </w:tcPr>
          <w:p w:rsidR="00757950" w:rsidRPr="00F5017A" w:rsidRDefault="00757950" w:rsidP="007229DD">
            <w:pPr>
              <w:spacing w:after="120"/>
              <w:ind w:right="254"/>
            </w:pPr>
            <w:r>
              <w:t>Availability of inspection staff from all beneficiaries institutions</w:t>
            </w:r>
          </w:p>
        </w:tc>
      </w:tr>
      <w:tr w:rsidR="00757950" w:rsidRPr="00F5017A" w:rsidTr="007229DD">
        <w:trPr>
          <w:trHeight w:val="735"/>
        </w:trPr>
        <w:tc>
          <w:tcPr>
            <w:tcW w:w="3085" w:type="dxa"/>
            <w:vMerge/>
          </w:tcPr>
          <w:p w:rsidR="00757950" w:rsidRPr="00F5017A" w:rsidRDefault="00757950" w:rsidP="007229DD">
            <w:pPr>
              <w:pStyle w:val="Default"/>
              <w:rPr>
                <w:sz w:val="22"/>
                <w:szCs w:val="22"/>
              </w:rPr>
            </w:pPr>
          </w:p>
        </w:tc>
        <w:tc>
          <w:tcPr>
            <w:tcW w:w="2410" w:type="dxa"/>
          </w:tcPr>
          <w:p w:rsidR="00757950" w:rsidRPr="00F5017A" w:rsidRDefault="00757950" w:rsidP="007229DD">
            <w:r w:rsidRPr="00F5017A">
              <w:t>4.2.2 Study visit for phytosanitary inspectors</w:t>
            </w:r>
          </w:p>
        </w:tc>
        <w:tc>
          <w:tcPr>
            <w:tcW w:w="3685" w:type="dxa"/>
            <w:gridSpan w:val="3"/>
          </w:tcPr>
          <w:p w:rsidR="00757950" w:rsidRPr="00F5017A" w:rsidRDefault="00757950" w:rsidP="007229DD">
            <w:pPr>
              <w:pStyle w:val="Default"/>
              <w:spacing w:after="60"/>
              <w:rPr>
                <w:sz w:val="22"/>
                <w:szCs w:val="22"/>
              </w:rPr>
            </w:pPr>
            <w:r w:rsidRPr="00F5017A">
              <w:rPr>
                <w:sz w:val="22"/>
                <w:szCs w:val="22"/>
              </w:rPr>
              <w:t xml:space="preserve">4.2.2) A study visit for </w:t>
            </w:r>
            <w:r>
              <w:rPr>
                <w:sz w:val="22"/>
                <w:szCs w:val="22"/>
              </w:rPr>
              <w:t xml:space="preserve">six </w:t>
            </w:r>
            <w:r w:rsidRPr="00F5017A">
              <w:rPr>
                <w:sz w:val="22"/>
                <w:szCs w:val="22"/>
              </w:rPr>
              <w:t>inspectors is organized</w:t>
            </w:r>
          </w:p>
        </w:tc>
        <w:tc>
          <w:tcPr>
            <w:tcW w:w="2926" w:type="dxa"/>
            <w:vMerge/>
          </w:tcPr>
          <w:p w:rsidR="00757950" w:rsidRPr="00F5017A" w:rsidRDefault="00757950" w:rsidP="007229DD">
            <w:pPr>
              <w:pStyle w:val="CommentText"/>
              <w:ind w:right="254"/>
              <w:rPr>
                <w:sz w:val="22"/>
                <w:szCs w:val="22"/>
                <w:lang w:val="en-GB"/>
              </w:rPr>
            </w:pPr>
          </w:p>
        </w:tc>
        <w:tc>
          <w:tcPr>
            <w:tcW w:w="2036" w:type="dxa"/>
            <w:vMerge/>
          </w:tcPr>
          <w:p w:rsidR="00757950" w:rsidRPr="00F5017A" w:rsidRDefault="00757950" w:rsidP="007229DD">
            <w:pPr>
              <w:spacing w:after="120"/>
              <w:ind w:right="254"/>
            </w:pPr>
          </w:p>
        </w:tc>
      </w:tr>
      <w:tr w:rsidR="00757950" w:rsidRPr="00F5017A" w:rsidTr="007229DD">
        <w:tc>
          <w:tcPr>
            <w:tcW w:w="14142" w:type="dxa"/>
            <w:gridSpan w:val="7"/>
            <w:shd w:val="clear" w:color="auto" w:fill="E6E6E6"/>
          </w:tcPr>
          <w:p w:rsidR="00757950" w:rsidRPr="00F5017A" w:rsidRDefault="00757950" w:rsidP="007229DD">
            <w:pPr>
              <w:pStyle w:val="Default"/>
              <w:spacing w:after="120"/>
              <w:rPr>
                <w:sz w:val="22"/>
                <w:szCs w:val="22"/>
              </w:rPr>
            </w:pPr>
            <w:r w:rsidRPr="00F5017A">
              <w:rPr>
                <w:b/>
                <w:bCs/>
                <w:sz w:val="22"/>
                <w:szCs w:val="22"/>
              </w:rPr>
              <w:t xml:space="preserve">Component 3: Seeds and propagation materials </w:t>
            </w:r>
          </w:p>
        </w:tc>
      </w:tr>
      <w:tr w:rsidR="00757950" w:rsidRPr="00F5017A" w:rsidTr="007229DD">
        <w:tc>
          <w:tcPr>
            <w:tcW w:w="14142" w:type="dxa"/>
            <w:gridSpan w:val="7"/>
            <w:shd w:val="clear" w:color="auto" w:fill="E6E6E6"/>
          </w:tcPr>
          <w:p w:rsidR="00757950" w:rsidRPr="008064FB" w:rsidRDefault="00757950" w:rsidP="007229DD">
            <w:pPr>
              <w:spacing w:after="120"/>
              <w:ind w:right="254"/>
              <w:rPr>
                <w:b/>
              </w:rPr>
            </w:pPr>
            <w:r>
              <w:rPr>
                <w:b/>
              </w:rPr>
              <w:t>Action 1</w:t>
            </w:r>
            <w:r w:rsidRPr="008064FB">
              <w:rPr>
                <w:b/>
              </w:rPr>
              <w:t xml:space="preserve"> – Variety registration and breeders rights</w:t>
            </w:r>
          </w:p>
        </w:tc>
      </w:tr>
      <w:tr w:rsidR="00757950" w:rsidRPr="00F5017A" w:rsidTr="007229DD">
        <w:trPr>
          <w:trHeight w:val="841"/>
        </w:trPr>
        <w:tc>
          <w:tcPr>
            <w:tcW w:w="3085" w:type="dxa"/>
            <w:vMerge w:val="restart"/>
          </w:tcPr>
          <w:p w:rsidR="00757950" w:rsidRPr="00F5017A" w:rsidRDefault="00757950" w:rsidP="007229DD">
            <w:pPr>
              <w:pStyle w:val="Default"/>
              <w:rPr>
                <w:sz w:val="22"/>
                <w:szCs w:val="22"/>
              </w:rPr>
            </w:pPr>
            <w:r w:rsidRPr="00F5017A">
              <w:rPr>
                <w:sz w:val="22"/>
                <w:szCs w:val="22"/>
              </w:rPr>
              <w:t xml:space="preserve">5.1. Variety registration in </w:t>
            </w:r>
            <w:proofErr w:type="spellStart"/>
            <w:r w:rsidRPr="00F5017A">
              <w:rPr>
                <w:sz w:val="22"/>
                <w:szCs w:val="22"/>
              </w:rPr>
              <w:t>BiH</w:t>
            </w:r>
            <w:proofErr w:type="spellEnd"/>
            <w:r w:rsidRPr="00F5017A">
              <w:rPr>
                <w:sz w:val="22"/>
                <w:szCs w:val="22"/>
              </w:rPr>
              <w:t xml:space="preserve"> catalogue(s)</w:t>
            </w:r>
          </w:p>
          <w:p w:rsidR="00757950" w:rsidRPr="00F5017A" w:rsidRDefault="00757950" w:rsidP="007229DD"/>
        </w:tc>
        <w:tc>
          <w:tcPr>
            <w:tcW w:w="2501" w:type="dxa"/>
            <w:gridSpan w:val="2"/>
          </w:tcPr>
          <w:p w:rsidR="00757950" w:rsidRPr="00F5017A" w:rsidRDefault="00757950" w:rsidP="007229DD">
            <w:pPr>
              <w:pStyle w:val="Default"/>
              <w:rPr>
                <w:sz w:val="22"/>
                <w:szCs w:val="22"/>
              </w:rPr>
            </w:pPr>
            <w:r w:rsidRPr="00F5017A">
              <w:rPr>
                <w:sz w:val="22"/>
                <w:szCs w:val="22"/>
              </w:rPr>
              <w:t>5.1.1 Development of procedures for variety registration</w:t>
            </w:r>
          </w:p>
        </w:tc>
        <w:tc>
          <w:tcPr>
            <w:tcW w:w="3543" w:type="dxa"/>
          </w:tcPr>
          <w:p w:rsidR="00757950" w:rsidRPr="00D9545F" w:rsidRDefault="00757950" w:rsidP="007229DD">
            <w:pPr>
              <w:pStyle w:val="Default"/>
              <w:spacing w:after="60"/>
              <w:rPr>
                <w:sz w:val="22"/>
                <w:szCs w:val="22"/>
              </w:rPr>
            </w:pPr>
            <w:r w:rsidRPr="00BD368B">
              <w:rPr>
                <w:sz w:val="22"/>
                <w:szCs w:val="22"/>
              </w:rPr>
              <w:t xml:space="preserve">5.1.1) </w:t>
            </w:r>
            <w:r>
              <w:rPr>
                <w:sz w:val="22"/>
                <w:szCs w:val="22"/>
              </w:rPr>
              <w:t xml:space="preserve">Secondary and tertiary legislation </w:t>
            </w:r>
            <w:r w:rsidRPr="00BD368B">
              <w:rPr>
                <w:sz w:val="22"/>
                <w:szCs w:val="22"/>
              </w:rPr>
              <w:t>for the registration of varieties is prepared</w:t>
            </w:r>
            <w:r w:rsidRPr="00F5017A">
              <w:rPr>
                <w:sz w:val="22"/>
                <w:szCs w:val="22"/>
              </w:rPr>
              <w:t xml:space="preserve"> </w:t>
            </w:r>
          </w:p>
        </w:tc>
        <w:tc>
          <w:tcPr>
            <w:tcW w:w="2977" w:type="dxa"/>
            <w:gridSpan w:val="2"/>
            <w:vMerge w:val="restart"/>
          </w:tcPr>
          <w:p w:rsidR="00757950" w:rsidRPr="00F5017A" w:rsidRDefault="00757950" w:rsidP="007229DD">
            <w:r w:rsidRPr="00F5017A">
              <w:t>Annexes to Mission reports</w:t>
            </w:r>
          </w:p>
          <w:p w:rsidR="00757950" w:rsidRDefault="00757950" w:rsidP="007229DD">
            <w:r w:rsidRPr="00F5017A">
              <w:t xml:space="preserve">Annexes to Quarterly reports </w:t>
            </w:r>
          </w:p>
          <w:p w:rsidR="00757950" w:rsidRPr="00F5017A" w:rsidRDefault="00757950" w:rsidP="007229DD">
            <w:r w:rsidRPr="00F5017A">
              <w:t>Training courses certificates</w:t>
            </w:r>
          </w:p>
          <w:p w:rsidR="00757950" w:rsidRDefault="00757950" w:rsidP="007229DD">
            <w:r w:rsidRPr="00F5017A">
              <w:t>Courses Evaluation sheets</w:t>
            </w:r>
          </w:p>
          <w:p w:rsidR="00757950" w:rsidRDefault="00757950" w:rsidP="007229DD">
            <w:r w:rsidRPr="00B3607E">
              <w:t>PHPA website</w:t>
            </w:r>
          </w:p>
          <w:p w:rsidR="00757950" w:rsidRPr="00F5017A" w:rsidRDefault="00757950" w:rsidP="007229DD"/>
        </w:tc>
        <w:tc>
          <w:tcPr>
            <w:tcW w:w="2036" w:type="dxa"/>
            <w:vMerge w:val="restart"/>
          </w:tcPr>
          <w:p w:rsidR="00757950" w:rsidRPr="00F5017A" w:rsidRDefault="00757950" w:rsidP="007229DD">
            <w:pPr>
              <w:spacing w:after="120"/>
            </w:pPr>
            <w:r>
              <w:t>Availability of staff dealing with certification and control of seeds and vegetative materials from all beneficiaries institutions</w:t>
            </w:r>
          </w:p>
        </w:tc>
      </w:tr>
      <w:tr w:rsidR="00757950" w:rsidRPr="00F5017A" w:rsidTr="007229DD">
        <w:trPr>
          <w:trHeight w:val="416"/>
        </w:trPr>
        <w:tc>
          <w:tcPr>
            <w:tcW w:w="3085" w:type="dxa"/>
            <w:vMerge/>
          </w:tcPr>
          <w:p w:rsidR="00757950" w:rsidRPr="00F5017A" w:rsidRDefault="00757950" w:rsidP="007229DD">
            <w:pPr>
              <w:pStyle w:val="Default"/>
              <w:rPr>
                <w:sz w:val="22"/>
                <w:szCs w:val="22"/>
              </w:rPr>
            </w:pPr>
          </w:p>
        </w:tc>
        <w:tc>
          <w:tcPr>
            <w:tcW w:w="2501" w:type="dxa"/>
            <w:gridSpan w:val="2"/>
          </w:tcPr>
          <w:p w:rsidR="00757950" w:rsidRPr="00F5017A" w:rsidRDefault="00757950" w:rsidP="007229DD">
            <w:pPr>
              <w:pStyle w:val="Default"/>
              <w:rPr>
                <w:sz w:val="22"/>
                <w:szCs w:val="22"/>
              </w:rPr>
            </w:pPr>
            <w:r w:rsidRPr="00F5017A">
              <w:rPr>
                <w:sz w:val="22"/>
                <w:szCs w:val="22"/>
              </w:rPr>
              <w:t xml:space="preserve">5.1.2. Train personnel involved in the variety testing system for entry into the variety catalogue of </w:t>
            </w:r>
            <w:proofErr w:type="spellStart"/>
            <w:r w:rsidRPr="00F5017A">
              <w:rPr>
                <w:sz w:val="22"/>
                <w:szCs w:val="22"/>
              </w:rPr>
              <w:t>B</w:t>
            </w:r>
            <w:r>
              <w:rPr>
                <w:sz w:val="22"/>
                <w:szCs w:val="22"/>
              </w:rPr>
              <w:t>iH</w:t>
            </w:r>
            <w:proofErr w:type="spellEnd"/>
          </w:p>
        </w:tc>
        <w:tc>
          <w:tcPr>
            <w:tcW w:w="3543" w:type="dxa"/>
          </w:tcPr>
          <w:p w:rsidR="00757950" w:rsidRPr="00F5017A" w:rsidRDefault="00757950" w:rsidP="007229DD">
            <w:pPr>
              <w:pStyle w:val="Default"/>
              <w:spacing w:after="60"/>
              <w:rPr>
                <w:sz w:val="22"/>
                <w:szCs w:val="22"/>
              </w:rPr>
            </w:pPr>
            <w:r w:rsidRPr="00F5017A">
              <w:rPr>
                <w:sz w:val="22"/>
                <w:szCs w:val="22"/>
              </w:rPr>
              <w:t>5.1.2) Staff is trained on the registration procedures</w:t>
            </w:r>
          </w:p>
        </w:tc>
        <w:tc>
          <w:tcPr>
            <w:tcW w:w="2977" w:type="dxa"/>
            <w:gridSpan w:val="2"/>
            <w:vMerge/>
          </w:tcPr>
          <w:p w:rsidR="00757950" w:rsidRPr="00F5017A" w:rsidRDefault="00757950" w:rsidP="007229DD"/>
        </w:tc>
        <w:tc>
          <w:tcPr>
            <w:tcW w:w="2036" w:type="dxa"/>
            <w:vMerge/>
          </w:tcPr>
          <w:p w:rsidR="00757950" w:rsidRPr="00F5017A" w:rsidRDefault="00757950" w:rsidP="007229DD">
            <w:pPr>
              <w:spacing w:after="120"/>
            </w:pPr>
          </w:p>
        </w:tc>
      </w:tr>
      <w:tr w:rsidR="00757950" w:rsidRPr="00F5017A" w:rsidTr="007229DD">
        <w:trPr>
          <w:trHeight w:val="1060"/>
        </w:trPr>
        <w:tc>
          <w:tcPr>
            <w:tcW w:w="3085" w:type="dxa"/>
            <w:vMerge/>
          </w:tcPr>
          <w:p w:rsidR="00757950" w:rsidRPr="00F5017A" w:rsidRDefault="00757950" w:rsidP="007229DD"/>
        </w:tc>
        <w:tc>
          <w:tcPr>
            <w:tcW w:w="2501" w:type="dxa"/>
            <w:gridSpan w:val="2"/>
          </w:tcPr>
          <w:p w:rsidR="00757950" w:rsidRPr="00F5017A" w:rsidRDefault="00757950" w:rsidP="007229DD">
            <w:pPr>
              <w:pStyle w:val="Default"/>
              <w:rPr>
                <w:sz w:val="22"/>
                <w:szCs w:val="22"/>
              </w:rPr>
            </w:pPr>
            <w:r w:rsidRPr="00F5017A">
              <w:rPr>
                <w:sz w:val="22"/>
                <w:szCs w:val="22"/>
              </w:rPr>
              <w:t xml:space="preserve">5.1.3 Train staff in charge of the approval of basic material for forest reproductive material </w:t>
            </w:r>
          </w:p>
        </w:tc>
        <w:tc>
          <w:tcPr>
            <w:tcW w:w="3543" w:type="dxa"/>
          </w:tcPr>
          <w:p w:rsidR="00757950" w:rsidRPr="00F5017A" w:rsidRDefault="00757950" w:rsidP="007229DD">
            <w:pPr>
              <w:pStyle w:val="Default"/>
              <w:spacing w:after="60"/>
              <w:rPr>
                <w:sz w:val="22"/>
                <w:szCs w:val="22"/>
              </w:rPr>
            </w:pPr>
            <w:r w:rsidRPr="00F5017A">
              <w:rPr>
                <w:sz w:val="22"/>
                <w:szCs w:val="22"/>
              </w:rPr>
              <w:t xml:space="preserve">5.1.3) Trainings on inspection and evaluation of basic material for forestry is delivered </w:t>
            </w:r>
          </w:p>
        </w:tc>
        <w:tc>
          <w:tcPr>
            <w:tcW w:w="2977" w:type="dxa"/>
            <w:gridSpan w:val="2"/>
          </w:tcPr>
          <w:p w:rsidR="00757950" w:rsidRPr="00F5017A" w:rsidRDefault="00757950" w:rsidP="007229DD">
            <w:r w:rsidRPr="00F5017A">
              <w:t>Annexes to Mission reports</w:t>
            </w:r>
          </w:p>
          <w:p w:rsidR="00757950" w:rsidRDefault="00757950" w:rsidP="007229DD">
            <w:r w:rsidRPr="00F5017A">
              <w:t xml:space="preserve">Annexes to Quarterly reports </w:t>
            </w:r>
          </w:p>
          <w:p w:rsidR="00757950" w:rsidRPr="00F5017A" w:rsidRDefault="00757950" w:rsidP="007229DD">
            <w:r w:rsidRPr="00F5017A">
              <w:t>Training courses certificates</w:t>
            </w:r>
          </w:p>
          <w:p w:rsidR="00757950" w:rsidRPr="00F5017A" w:rsidRDefault="00757950" w:rsidP="007229DD">
            <w:r w:rsidRPr="00F5017A">
              <w:t>Courses Evaluation sheets</w:t>
            </w:r>
          </w:p>
        </w:tc>
        <w:tc>
          <w:tcPr>
            <w:tcW w:w="2036" w:type="dxa"/>
          </w:tcPr>
          <w:p w:rsidR="00757950" w:rsidRPr="00F5017A" w:rsidRDefault="00757950" w:rsidP="007229DD">
            <w:pPr>
              <w:spacing w:after="120"/>
            </w:pPr>
            <w:r>
              <w:t>Availability of staff from all beneficiaries institutions</w:t>
            </w:r>
          </w:p>
        </w:tc>
      </w:tr>
      <w:tr w:rsidR="00757950" w:rsidRPr="00F5017A" w:rsidTr="007229DD">
        <w:trPr>
          <w:trHeight w:val="630"/>
        </w:trPr>
        <w:tc>
          <w:tcPr>
            <w:tcW w:w="3085" w:type="dxa"/>
            <w:vMerge w:val="restart"/>
          </w:tcPr>
          <w:p w:rsidR="00757950" w:rsidRPr="00F5017A" w:rsidRDefault="00757950" w:rsidP="007229DD">
            <w:pPr>
              <w:pStyle w:val="Default"/>
              <w:rPr>
                <w:sz w:val="22"/>
                <w:szCs w:val="22"/>
              </w:rPr>
            </w:pPr>
            <w:r w:rsidRPr="00F5017A">
              <w:rPr>
                <w:sz w:val="22"/>
                <w:szCs w:val="22"/>
              </w:rPr>
              <w:t xml:space="preserve">5.2. Plant breeders' rights in </w:t>
            </w:r>
            <w:proofErr w:type="spellStart"/>
            <w:r w:rsidRPr="00F5017A">
              <w:rPr>
                <w:sz w:val="22"/>
                <w:szCs w:val="22"/>
              </w:rPr>
              <w:t>BiH</w:t>
            </w:r>
            <w:proofErr w:type="spellEnd"/>
            <w:r w:rsidRPr="00F5017A">
              <w:rPr>
                <w:sz w:val="22"/>
                <w:szCs w:val="22"/>
              </w:rPr>
              <w:t xml:space="preserve"> </w:t>
            </w:r>
          </w:p>
          <w:p w:rsidR="00757950" w:rsidRPr="00F5017A" w:rsidRDefault="00757950" w:rsidP="007229DD">
            <w:pPr>
              <w:pStyle w:val="Default"/>
              <w:rPr>
                <w:sz w:val="22"/>
                <w:szCs w:val="22"/>
              </w:rPr>
            </w:pPr>
          </w:p>
        </w:tc>
        <w:tc>
          <w:tcPr>
            <w:tcW w:w="2501" w:type="dxa"/>
            <w:gridSpan w:val="2"/>
          </w:tcPr>
          <w:p w:rsidR="00757950" w:rsidRPr="00F5017A" w:rsidRDefault="00757950" w:rsidP="007229DD">
            <w:pPr>
              <w:pStyle w:val="Default"/>
              <w:rPr>
                <w:sz w:val="22"/>
                <w:szCs w:val="22"/>
              </w:rPr>
            </w:pPr>
            <w:r>
              <w:rPr>
                <w:sz w:val="22"/>
                <w:szCs w:val="22"/>
              </w:rPr>
              <w:t>5.2</w:t>
            </w:r>
            <w:r w:rsidRPr="00F5017A">
              <w:rPr>
                <w:sz w:val="22"/>
                <w:szCs w:val="22"/>
              </w:rPr>
              <w:t>.1 Development of procedures for management of plant breeders’ rights</w:t>
            </w:r>
          </w:p>
        </w:tc>
        <w:tc>
          <w:tcPr>
            <w:tcW w:w="3543" w:type="dxa"/>
          </w:tcPr>
          <w:p w:rsidR="00757950" w:rsidRPr="00CC4074" w:rsidRDefault="00757950" w:rsidP="007229DD">
            <w:pPr>
              <w:pStyle w:val="Body"/>
              <w:spacing w:after="0"/>
              <w:rPr>
                <w:rFonts w:ascii="Times New Roman" w:hAnsi="Times New Roman"/>
                <w:sz w:val="22"/>
                <w:szCs w:val="22"/>
                <w:lang w:val="en-GB"/>
              </w:rPr>
            </w:pPr>
            <w:r w:rsidRPr="00CC4074">
              <w:rPr>
                <w:rFonts w:ascii="Times New Roman" w:hAnsi="Times New Roman"/>
                <w:sz w:val="22"/>
                <w:szCs w:val="22"/>
                <w:lang w:val="en-GB"/>
              </w:rPr>
              <w:t xml:space="preserve">5.2.1.1) Development of </w:t>
            </w:r>
            <w:r>
              <w:rPr>
                <w:rFonts w:ascii="Times New Roman" w:hAnsi="Times New Roman"/>
                <w:sz w:val="22"/>
                <w:szCs w:val="22"/>
                <w:lang w:val="en-GB"/>
              </w:rPr>
              <w:t xml:space="preserve">secondary and tertiary legal provisions </w:t>
            </w:r>
            <w:r w:rsidRPr="00CC4074">
              <w:rPr>
                <w:rFonts w:ascii="Times New Roman" w:hAnsi="Times New Roman"/>
                <w:sz w:val="22"/>
                <w:szCs w:val="22"/>
                <w:lang w:val="en-GB"/>
              </w:rPr>
              <w:t>for management of the plant breeders’ right register</w:t>
            </w:r>
          </w:p>
          <w:p w:rsidR="00757950" w:rsidRPr="00F5017A" w:rsidRDefault="00757950" w:rsidP="007229DD">
            <w:pPr>
              <w:pStyle w:val="Default"/>
              <w:spacing w:after="60"/>
              <w:rPr>
                <w:sz w:val="22"/>
                <w:szCs w:val="22"/>
              </w:rPr>
            </w:pPr>
            <w:r w:rsidRPr="00CC4074">
              <w:rPr>
                <w:sz w:val="22"/>
                <w:szCs w:val="22"/>
              </w:rPr>
              <w:t>5.2.1.2) Staff is accustomed with the use of the register</w:t>
            </w:r>
            <w:r>
              <w:rPr>
                <w:sz w:val="22"/>
                <w:szCs w:val="22"/>
              </w:rPr>
              <w:t xml:space="preserve"> and other databases</w:t>
            </w:r>
          </w:p>
        </w:tc>
        <w:tc>
          <w:tcPr>
            <w:tcW w:w="2977" w:type="dxa"/>
            <w:gridSpan w:val="2"/>
            <w:vMerge w:val="restart"/>
          </w:tcPr>
          <w:p w:rsidR="00757950" w:rsidRPr="00F5017A" w:rsidRDefault="00757950" w:rsidP="007229DD">
            <w:r w:rsidRPr="00F5017A">
              <w:t>Annexes to Mission reports</w:t>
            </w:r>
          </w:p>
          <w:p w:rsidR="00757950" w:rsidRDefault="00757950" w:rsidP="007229DD">
            <w:r w:rsidRPr="00F5017A">
              <w:t xml:space="preserve">Annexes to Quarterly reports  </w:t>
            </w:r>
          </w:p>
          <w:p w:rsidR="00757950" w:rsidRPr="00F5017A" w:rsidRDefault="00757950" w:rsidP="007229DD">
            <w:r w:rsidRPr="00F5017A">
              <w:t>Training courses certificates</w:t>
            </w:r>
          </w:p>
          <w:p w:rsidR="00757950" w:rsidRPr="00F5017A" w:rsidRDefault="00757950" w:rsidP="007229DD">
            <w:r w:rsidRPr="00F5017A">
              <w:t>Courses Evaluation sheets</w:t>
            </w:r>
          </w:p>
        </w:tc>
        <w:tc>
          <w:tcPr>
            <w:tcW w:w="2036" w:type="dxa"/>
            <w:vMerge w:val="restart"/>
          </w:tcPr>
          <w:p w:rsidR="00757950" w:rsidRDefault="00757950" w:rsidP="007229DD">
            <w:pPr>
              <w:spacing w:after="120"/>
            </w:pPr>
            <w:r>
              <w:t>Availability of certification staff from all beneficiaries institutions</w:t>
            </w:r>
          </w:p>
          <w:p w:rsidR="00757950" w:rsidRPr="00F5017A" w:rsidRDefault="00757950" w:rsidP="007229DD">
            <w:pPr>
              <w:spacing w:after="120"/>
            </w:pPr>
            <w:r>
              <w:t xml:space="preserve">Availability of operators </w:t>
            </w:r>
          </w:p>
        </w:tc>
      </w:tr>
      <w:tr w:rsidR="00757950" w:rsidRPr="00F5017A" w:rsidTr="007229DD">
        <w:trPr>
          <w:trHeight w:val="630"/>
        </w:trPr>
        <w:tc>
          <w:tcPr>
            <w:tcW w:w="3085" w:type="dxa"/>
            <w:vMerge/>
          </w:tcPr>
          <w:p w:rsidR="00757950" w:rsidRPr="00F5017A" w:rsidRDefault="00757950" w:rsidP="007229DD">
            <w:pPr>
              <w:pStyle w:val="Default"/>
              <w:rPr>
                <w:sz w:val="22"/>
                <w:szCs w:val="22"/>
              </w:rPr>
            </w:pPr>
          </w:p>
        </w:tc>
        <w:tc>
          <w:tcPr>
            <w:tcW w:w="2501" w:type="dxa"/>
            <w:gridSpan w:val="2"/>
          </w:tcPr>
          <w:p w:rsidR="00757950" w:rsidRPr="00F5017A" w:rsidRDefault="00757950" w:rsidP="007229DD">
            <w:pPr>
              <w:pStyle w:val="Default"/>
              <w:rPr>
                <w:sz w:val="22"/>
                <w:szCs w:val="22"/>
              </w:rPr>
            </w:pPr>
            <w:r w:rsidRPr="00F5017A">
              <w:rPr>
                <w:sz w:val="22"/>
                <w:szCs w:val="22"/>
              </w:rPr>
              <w:t>5.2.</w:t>
            </w:r>
            <w:r>
              <w:rPr>
                <w:sz w:val="22"/>
                <w:szCs w:val="22"/>
              </w:rPr>
              <w:t>2</w:t>
            </w:r>
            <w:r w:rsidRPr="00F5017A">
              <w:rPr>
                <w:sz w:val="22"/>
                <w:szCs w:val="22"/>
              </w:rPr>
              <w:t xml:space="preserve"> Train staff involved in the management of plant breeders' rights register</w:t>
            </w:r>
          </w:p>
        </w:tc>
        <w:tc>
          <w:tcPr>
            <w:tcW w:w="3543" w:type="dxa"/>
          </w:tcPr>
          <w:p w:rsidR="00757950" w:rsidRPr="00F5017A" w:rsidRDefault="00757950" w:rsidP="007229DD">
            <w:pPr>
              <w:pStyle w:val="Default"/>
              <w:spacing w:after="60"/>
              <w:rPr>
                <w:sz w:val="22"/>
                <w:szCs w:val="22"/>
              </w:rPr>
            </w:pPr>
            <w:r w:rsidRPr="00A87878">
              <w:rPr>
                <w:u w:color="000000"/>
              </w:rPr>
              <w:t xml:space="preserve">5.2.2) Staff is accustomed with the use </w:t>
            </w:r>
            <w:r>
              <w:rPr>
                <w:u w:color="000000"/>
              </w:rPr>
              <w:t xml:space="preserve">and procedures related to </w:t>
            </w:r>
            <w:r w:rsidRPr="00A87878">
              <w:rPr>
                <w:u w:color="000000"/>
              </w:rPr>
              <w:t xml:space="preserve">the </w:t>
            </w:r>
            <w:r>
              <w:rPr>
                <w:u w:color="000000"/>
              </w:rPr>
              <w:t xml:space="preserve">plant breeders’ rights </w:t>
            </w:r>
            <w:r w:rsidRPr="00A87878">
              <w:rPr>
                <w:u w:color="000000"/>
              </w:rPr>
              <w:t>register</w:t>
            </w:r>
            <w:r>
              <w:rPr>
                <w:u w:color="000000"/>
              </w:rPr>
              <w:t>s</w:t>
            </w:r>
          </w:p>
        </w:tc>
        <w:tc>
          <w:tcPr>
            <w:tcW w:w="2977" w:type="dxa"/>
            <w:gridSpan w:val="2"/>
            <w:vMerge/>
          </w:tcPr>
          <w:p w:rsidR="00757950" w:rsidRPr="00F5017A" w:rsidRDefault="00757950" w:rsidP="007229DD"/>
        </w:tc>
        <w:tc>
          <w:tcPr>
            <w:tcW w:w="2036" w:type="dxa"/>
            <w:vMerge/>
          </w:tcPr>
          <w:p w:rsidR="00757950" w:rsidRPr="00F5017A" w:rsidRDefault="00757950" w:rsidP="007229DD">
            <w:pPr>
              <w:spacing w:after="120"/>
            </w:pPr>
          </w:p>
        </w:tc>
      </w:tr>
      <w:tr w:rsidR="00757950" w:rsidRPr="00F5017A" w:rsidTr="007229DD">
        <w:trPr>
          <w:trHeight w:val="1072"/>
        </w:trPr>
        <w:tc>
          <w:tcPr>
            <w:tcW w:w="3085" w:type="dxa"/>
            <w:vMerge/>
            <w:tcBorders>
              <w:bottom w:val="single" w:sz="4" w:space="0" w:color="auto"/>
            </w:tcBorders>
          </w:tcPr>
          <w:p w:rsidR="00757950" w:rsidRPr="00F5017A" w:rsidRDefault="00757950" w:rsidP="007229DD">
            <w:pPr>
              <w:pStyle w:val="Default"/>
              <w:rPr>
                <w:sz w:val="22"/>
                <w:szCs w:val="22"/>
              </w:rPr>
            </w:pPr>
          </w:p>
        </w:tc>
        <w:tc>
          <w:tcPr>
            <w:tcW w:w="2501" w:type="dxa"/>
            <w:gridSpan w:val="2"/>
            <w:tcBorders>
              <w:bottom w:val="single" w:sz="4" w:space="0" w:color="auto"/>
            </w:tcBorders>
          </w:tcPr>
          <w:p w:rsidR="00757950" w:rsidRPr="00F5017A" w:rsidRDefault="00757950" w:rsidP="007229DD">
            <w:pPr>
              <w:pStyle w:val="Default"/>
              <w:rPr>
                <w:sz w:val="22"/>
                <w:szCs w:val="22"/>
              </w:rPr>
            </w:pPr>
            <w:r w:rsidRPr="00F5017A">
              <w:rPr>
                <w:sz w:val="22"/>
                <w:szCs w:val="22"/>
              </w:rPr>
              <w:t>5.2.</w:t>
            </w:r>
            <w:r>
              <w:rPr>
                <w:sz w:val="22"/>
                <w:szCs w:val="22"/>
              </w:rPr>
              <w:t>3</w:t>
            </w:r>
            <w:r w:rsidRPr="00F5017A">
              <w:rPr>
                <w:sz w:val="22"/>
                <w:szCs w:val="22"/>
              </w:rPr>
              <w:t xml:space="preserve"> Train staff and stakeholders in relation with enforcement of plant breeders' rights. </w:t>
            </w:r>
          </w:p>
        </w:tc>
        <w:tc>
          <w:tcPr>
            <w:tcW w:w="3543" w:type="dxa"/>
            <w:tcBorders>
              <w:bottom w:val="single" w:sz="4" w:space="0" w:color="auto"/>
            </w:tcBorders>
          </w:tcPr>
          <w:p w:rsidR="00757950" w:rsidRDefault="00757950" w:rsidP="007229DD">
            <w:pPr>
              <w:pStyle w:val="Body"/>
              <w:spacing w:after="0"/>
              <w:rPr>
                <w:rFonts w:ascii="Times New Roman" w:hAnsi="Times New Roman"/>
                <w:sz w:val="22"/>
                <w:szCs w:val="22"/>
                <w:lang w:val="en-GB"/>
              </w:rPr>
            </w:pPr>
            <w:r>
              <w:rPr>
                <w:rFonts w:ascii="Times New Roman" w:hAnsi="Times New Roman"/>
                <w:sz w:val="22"/>
                <w:szCs w:val="22"/>
                <w:lang w:val="en-GB"/>
              </w:rPr>
              <w:t>5.2.3.1</w:t>
            </w:r>
            <w:r w:rsidRPr="00CC4074">
              <w:rPr>
                <w:rFonts w:ascii="Times New Roman" w:hAnsi="Times New Roman"/>
                <w:sz w:val="22"/>
                <w:szCs w:val="22"/>
                <w:lang w:val="en-GB"/>
              </w:rPr>
              <w:t xml:space="preserve">) A series of workshops and seminars </w:t>
            </w:r>
            <w:r>
              <w:rPr>
                <w:rFonts w:ascii="Times New Roman" w:hAnsi="Times New Roman"/>
                <w:sz w:val="22"/>
                <w:szCs w:val="22"/>
                <w:lang w:val="en-GB"/>
              </w:rPr>
              <w:t>(</w:t>
            </w:r>
            <w:r w:rsidRPr="009F74EE">
              <w:rPr>
                <w:rFonts w:ascii="Times New Roman" w:hAnsi="Times New Roman"/>
                <w:sz w:val="22"/>
                <w:szCs w:val="22"/>
                <w:lang w:val="en-GB"/>
              </w:rPr>
              <w:t>at least three)</w:t>
            </w:r>
            <w:r>
              <w:rPr>
                <w:rFonts w:ascii="Times New Roman" w:hAnsi="Times New Roman"/>
                <w:sz w:val="22"/>
                <w:szCs w:val="22"/>
                <w:lang w:val="en-GB"/>
              </w:rPr>
              <w:t xml:space="preserve"> </w:t>
            </w:r>
            <w:r w:rsidRPr="00CC4074">
              <w:rPr>
                <w:rFonts w:ascii="Times New Roman" w:hAnsi="Times New Roman"/>
                <w:sz w:val="22"/>
                <w:szCs w:val="22"/>
                <w:lang w:val="en-GB"/>
              </w:rPr>
              <w:t>for staff and operators in breeding activities is organized</w:t>
            </w:r>
          </w:p>
          <w:p w:rsidR="00757950" w:rsidRPr="00F5017A" w:rsidRDefault="00757950" w:rsidP="007229DD">
            <w:pPr>
              <w:pStyle w:val="Default"/>
              <w:spacing w:after="60"/>
              <w:rPr>
                <w:sz w:val="22"/>
                <w:szCs w:val="22"/>
              </w:rPr>
            </w:pPr>
            <w:r>
              <w:rPr>
                <w:sz w:val="22"/>
                <w:szCs w:val="22"/>
              </w:rPr>
              <w:t>5.2.3.2) An illustrative brochure is prepared, printed (100 copies) and distributed</w:t>
            </w:r>
          </w:p>
        </w:tc>
        <w:tc>
          <w:tcPr>
            <w:tcW w:w="2977" w:type="dxa"/>
            <w:gridSpan w:val="2"/>
            <w:vMerge/>
            <w:tcBorders>
              <w:bottom w:val="single" w:sz="4" w:space="0" w:color="auto"/>
            </w:tcBorders>
          </w:tcPr>
          <w:p w:rsidR="00757950" w:rsidRPr="00F5017A" w:rsidRDefault="00757950" w:rsidP="007229DD"/>
        </w:tc>
        <w:tc>
          <w:tcPr>
            <w:tcW w:w="2036" w:type="dxa"/>
            <w:vMerge/>
            <w:tcBorders>
              <w:bottom w:val="single" w:sz="4" w:space="0" w:color="auto"/>
            </w:tcBorders>
          </w:tcPr>
          <w:p w:rsidR="00757950" w:rsidRPr="00F5017A" w:rsidRDefault="00757950" w:rsidP="007229DD">
            <w:pPr>
              <w:spacing w:after="120"/>
            </w:pPr>
          </w:p>
        </w:tc>
      </w:tr>
      <w:tr w:rsidR="00757950" w:rsidRPr="00F5017A" w:rsidTr="007229DD">
        <w:tc>
          <w:tcPr>
            <w:tcW w:w="14142" w:type="dxa"/>
            <w:gridSpan w:val="7"/>
            <w:shd w:val="clear" w:color="auto" w:fill="E6E6E6"/>
          </w:tcPr>
          <w:p w:rsidR="00757950" w:rsidRPr="008064FB" w:rsidRDefault="00757950" w:rsidP="007229DD">
            <w:pPr>
              <w:spacing w:after="120"/>
              <w:ind w:right="254"/>
              <w:rPr>
                <w:b/>
              </w:rPr>
            </w:pPr>
            <w:r>
              <w:rPr>
                <w:b/>
              </w:rPr>
              <w:t>Action 2</w:t>
            </w:r>
            <w:r w:rsidRPr="008064FB">
              <w:rPr>
                <w:b/>
              </w:rPr>
              <w:t xml:space="preserve"> – </w:t>
            </w:r>
            <w:r>
              <w:rPr>
                <w:b/>
              </w:rPr>
              <w:t>C</w:t>
            </w:r>
            <w:r w:rsidRPr="008064FB">
              <w:rPr>
                <w:b/>
              </w:rPr>
              <w:t>ertification system for seeds and seedling materials</w:t>
            </w:r>
          </w:p>
        </w:tc>
      </w:tr>
      <w:tr w:rsidR="00757950" w:rsidRPr="00F5017A" w:rsidTr="007229DD">
        <w:trPr>
          <w:trHeight w:val="1493"/>
        </w:trPr>
        <w:tc>
          <w:tcPr>
            <w:tcW w:w="3085" w:type="dxa"/>
            <w:vMerge w:val="restart"/>
          </w:tcPr>
          <w:p w:rsidR="00757950" w:rsidRPr="00F5017A" w:rsidRDefault="00757950" w:rsidP="007229DD">
            <w:pPr>
              <w:pStyle w:val="Default"/>
              <w:rPr>
                <w:sz w:val="22"/>
                <w:szCs w:val="22"/>
              </w:rPr>
            </w:pPr>
            <w:r w:rsidRPr="00F5017A">
              <w:rPr>
                <w:sz w:val="22"/>
                <w:szCs w:val="22"/>
              </w:rPr>
              <w:t xml:space="preserve">6.1. Develop draft regulations and procedures establishing a system of production and certification of seeds of agricultural and vegetable plants and seedling material of vegetable, ornamental and fruit plants, and control of imports and exports of seeds and seedling material of agricultural plants in BIH. </w:t>
            </w:r>
          </w:p>
        </w:tc>
        <w:tc>
          <w:tcPr>
            <w:tcW w:w="2501" w:type="dxa"/>
            <w:gridSpan w:val="2"/>
          </w:tcPr>
          <w:p w:rsidR="00757950" w:rsidRPr="00F5017A" w:rsidRDefault="00757950" w:rsidP="007229DD">
            <w:r w:rsidRPr="00F5017A">
              <w:t xml:space="preserve">6.1.1 System of seeds and vegetative plants certification </w:t>
            </w:r>
          </w:p>
        </w:tc>
        <w:tc>
          <w:tcPr>
            <w:tcW w:w="3543" w:type="dxa"/>
          </w:tcPr>
          <w:p w:rsidR="00757950" w:rsidRPr="00BD368B" w:rsidRDefault="00757950"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6.1.1</w:t>
            </w:r>
            <w:r>
              <w:rPr>
                <w:rFonts w:ascii="Times New Roman" w:hAnsi="Times New Roman"/>
                <w:sz w:val="22"/>
                <w:szCs w:val="22"/>
                <w:lang w:val="en-GB"/>
              </w:rPr>
              <w:t>.1</w:t>
            </w:r>
            <w:r w:rsidRPr="00BD368B">
              <w:rPr>
                <w:rFonts w:ascii="Times New Roman" w:hAnsi="Times New Roman"/>
                <w:sz w:val="22"/>
                <w:szCs w:val="22"/>
                <w:lang w:val="en-GB"/>
              </w:rPr>
              <w:t xml:space="preserve">) Secondary legislation dedicated to production and certification of seeds and propagating materials is prepared </w:t>
            </w:r>
          </w:p>
          <w:p w:rsidR="00757950" w:rsidRDefault="00757950" w:rsidP="007229DD">
            <w:pPr>
              <w:pStyle w:val="Body"/>
              <w:spacing w:after="0"/>
              <w:rPr>
                <w:rFonts w:ascii="Times New Roman" w:hAnsi="Times New Roman"/>
                <w:sz w:val="22"/>
                <w:szCs w:val="22"/>
                <w:lang w:val="en-GB"/>
              </w:rPr>
            </w:pPr>
            <w:r w:rsidRPr="00BD368B">
              <w:rPr>
                <w:rFonts w:ascii="Times New Roman" w:hAnsi="Times New Roman"/>
                <w:sz w:val="22"/>
                <w:szCs w:val="22"/>
                <w:lang w:val="en-GB"/>
              </w:rPr>
              <w:t>6.1.</w:t>
            </w:r>
            <w:r>
              <w:rPr>
                <w:rFonts w:ascii="Times New Roman" w:hAnsi="Times New Roman"/>
                <w:sz w:val="22"/>
                <w:szCs w:val="22"/>
                <w:lang w:val="en-GB"/>
              </w:rPr>
              <w:t>1.</w:t>
            </w:r>
            <w:r w:rsidRPr="00BD368B">
              <w:rPr>
                <w:rFonts w:ascii="Times New Roman" w:hAnsi="Times New Roman"/>
                <w:sz w:val="22"/>
                <w:szCs w:val="22"/>
                <w:lang w:val="en-GB"/>
              </w:rPr>
              <w:t>2) Tertiary legislation on production and certification of seeds and propagating materials is delivered</w:t>
            </w:r>
          </w:p>
          <w:p w:rsidR="00757950" w:rsidRPr="00F5017A" w:rsidRDefault="00757950" w:rsidP="007229DD">
            <w:pPr>
              <w:pStyle w:val="Default"/>
              <w:spacing w:after="60"/>
              <w:rPr>
                <w:sz w:val="22"/>
                <w:szCs w:val="22"/>
              </w:rPr>
            </w:pPr>
            <w:r>
              <w:rPr>
                <w:sz w:val="22"/>
                <w:szCs w:val="22"/>
              </w:rPr>
              <w:t>6.1.1.3) Documents related to the application to OECD are provided</w:t>
            </w:r>
            <w:r w:rsidRPr="00F5017A">
              <w:rPr>
                <w:sz w:val="22"/>
                <w:szCs w:val="22"/>
              </w:rPr>
              <w:t xml:space="preserve"> </w:t>
            </w:r>
          </w:p>
        </w:tc>
        <w:tc>
          <w:tcPr>
            <w:tcW w:w="2977" w:type="dxa"/>
            <w:gridSpan w:val="2"/>
            <w:vMerge w:val="restart"/>
          </w:tcPr>
          <w:p w:rsidR="00757950" w:rsidRPr="00F5017A" w:rsidRDefault="00757950" w:rsidP="007229DD">
            <w:r w:rsidRPr="00F5017A">
              <w:t>Annexes to Mission reports</w:t>
            </w:r>
          </w:p>
          <w:p w:rsidR="00757950" w:rsidRDefault="00757950" w:rsidP="007229DD">
            <w:r w:rsidRPr="00F5017A">
              <w:t xml:space="preserve">Annexes to Quarterly report </w:t>
            </w:r>
          </w:p>
          <w:p w:rsidR="00757950" w:rsidRPr="00F5017A" w:rsidRDefault="00757950" w:rsidP="007229DD"/>
        </w:tc>
        <w:tc>
          <w:tcPr>
            <w:tcW w:w="2036" w:type="dxa"/>
            <w:vMerge w:val="restart"/>
          </w:tcPr>
          <w:p w:rsidR="00757950" w:rsidRPr="00F5017A" w:rsidRDefault="00757950" w:rsidP="007229DD">
            <w:pPr>
              <w:spacing w:after="120"/>
            </w:pPr>
            <w:r>
              <w:t>Availability of staff from all beneficiaries institutions</w:t>
            </w:r>
          </w:p>
        </w:tc>
      </w:tr>
      <w:tr w:rsidR="00757950" w:rsidRPr="00F5017A" w:rsidTr="007229DD">
        <w:trPr>
          <w:trHeight w:val="416"/>
        </w:trPr>
        <w:tc>
          <w:tcPr>
            <w:tcW w:w="3085" w:type="dxa"/>
            <w:vMerge/>
          </w:tcPr>
          <w:p w:rsidR="00757950" w:rsidRPr="00F5017A" w:rsidRDefault="00757950" w:rsidP="007229DD">
            <w:pPr>
              <w:pStyle w:val="Default"/>
              <w:rPr>
                <w:sz w:val="22"/>
                <w:szCs w:val="22"/>
              </w:rPr>
            </w:pPr>
          </w:p>
        </w:tc>
        <w:tc>
          <w:tcPr>
            <w:tcW w:w="2501" w:type="dxa"/>
            <w:gridSpan w:val="2"/>
          </w:tcPr>
          <w:p w:rsidR="00757950" w:rsidRPr="00F5017A" w:rsidRDefault="00757950" w:rsidP="007229DD">
            <w:r w:rsidRPr="00F5017A">
              <w:t xml:space="preserve">6.1.2 System of import/export control of </w:t>
            </w:r>
            <w:r w:rsidRPr="00F5017A">
              <w:lastRenderedPageBreak/>
              <w:t>seeds and vegetative plants</w:t>
            </w:r>
          </w:p>
        </w:tc>
        <w:tc>
          <w:tcPr>
            <w:tcW w:w="3543" w:type="dxa"/>
          </w:tcPr>
          <w:p w:rsidR="00757950" w:rsidRDefault="00757950" w:rsidP="007229DD">
            <w:pPr>
              <w:pStyle w:val="Default"/>
              <w:spacing w:after="60"/>
              <w:rPr>
                <w:sz w:val="22"/>
                <w:szCs w:val="22"/>
              </w:rPr>
            </w:pPr>
            <w:r w:rsidRPr="00F5017A">
              <w:rPr>
                <w:sz w:val="22"/>
                <w:szCs w:val="22"/>
              </w:rPr>
              <w:lastRenderedPageBreak/>
              <w:t>6.1.2</w:t>
            </w:r>
            <w:r>
              <w:rPr>
                <w:sz w:val="22"/>
                <w:szCs w:val="22"/>
              </w:rPr>
              <w:t>.1</w:t>
            </w:r>
            <w:r w:rsidRPr="00F5017A">
              <w:rPr>
                <w:sz w:val="22"/>
                <w:szCs w:val="22"/>
              </w:rPr>
              <w:t xml:space="preserve">) Secondary legislation dedicated to </w:t>
            </w:r>
            <w:r>
              <w:rPr>
                <w:sz w:val="22"/>
                <w:szCs w:val="22"/>
              </w:rPr>
              <w:t xml:space="preserve">import/export control </w:t>
            </w:r>
            <w:r w:rsidRPr="00F5017A">
              <w:rPr>
                <w:sz w:val="22"/>
                <w:szCs w:val="22"/>
              </w:rPr>
              <w:t xml:space="preserve">of </w:t>
            </w:r>
            <w:r w:rsidRPr="00F5017A">
              <w:rPr>
                <w:sz w:val="22"/>
                <w:szCs w:val="22"/>
              </w:rPr>
              <w:lastRenderedPageBreak/>
              <w:t>seeds and propagating materials is prepared</w:t>
            </w:r>
          </w:p>
          <w:p w:rsidR="00757950" w:rsidRPr="00F5017A" w:rsidRDefault="00757950" w:rsidP="007229DD">
            <w:pPr>
              <w:pStyle w:val="Default"/>
              <w:spacing w:after="60"/>
              <w:rPr>
                <w:sz w:val="22"/>
                <w:szCs w:val="22"/>
              </w:rPr>
            </w:pPr>
            <w:r w:rsidRPr="00150197">
              <w:rPr>
                <w:sz w:val="22"/>
                <w:szCs w:val="22"/>
              </w:rPr>
              <w:t>6.1.</w:t>
            </w:r>
            <w:r>
              <w:rPr>
                <w:sz w:val="22"/>
                <w:szCs w:val="22"/>
              </w:rPr>
              <w:t>2</w:t>
            </w:r>
            <w:r w:rsidRPr="00150197">
              <w:rPr>
                <w:sz w:val="22"/>
                <w:szCs w:val="22"/>
              </w:rPr>
              <w:t xml:space="preserve">.2) </w:t>
            </w:r>
            <w:r>
              <w:rPr>
                <w:sz w:val="22"/>
                <w:szCs w:val="22"/>
              </w:rPr>
              <w:t>P</w:t>
            </w:r>
            <w:r w:rsidRPr="00150197">
              <w:rPr>
                <w:sz w:val="22"/>
                <w:szCs w:val="22"/>
              </w:rPr>
              <w:t>rocedures for the import/export control of seeds and seedling materials are delivered</w:t>
            </w:r>
          </w:p>
        </w:tc>
        <w:tc>
          <w:tcPr>
            <w:tcW w:w="2977" w:type="dxa"/>
            <w:gridSpan w:val="2"/>
            <w:vMerge/>
          </w:tcPr>
          <w:p w:rsidR="00757950" w:rsidRPr="00F5017A" w:rsidRDefault="00757950" w:rsidP="007229DD"/>
        </w:tc>
        <w:tc>
          <w:tcPr>
            <w:tcW w:w="2036" w:type="dxa"/>
            <w:vMerge/>
          </w:tcPr>
          <w:p w:rsidR="00757950" w:rsidRPr="00F5017A" w:rsidRDefault="00757950" w:rsidP="007229DD">
            <w:pPr>
              <w:spacing w:after="120"/>
            </w:pPr>
          </w:p>
        </w:tc>
      </w:tr>
      <w:tr w:rsidR="00757950" w:rsidRPr="00F5017A" w:rsidTr="007229DD">
        <w:trPr>
          <w:trHeight w:val="758"/>
        </w:trPr>
        <w:tc>
          <w:tcPr>
            <w:tcW w:w="3085" w:type="dxa"/>
            <w:vMerge w:val="restart"/>
          </w:tcPr>
          <w:p w:rsidR="00757950" w:rsidRPr="00F5017A" w:rsidRDefault="00757950" w:rsidP="007229DD">
            <w:pPr>
              <w:pStyle w:val="Default"/>
              <w:rPr>
                <w:sz w:val="22"/>
                <w:szCs w:val="22"/>
              </w:rPr>
            </w:pPr>
            <w:r>
              <w:rPr>
                <w:sz w:val="22"/>
                <w:szCs w:val="22"/>
              </w:rPr>
              <w:lastRenderedPageBreak/>
              <w:t>6.2</w:t>
            </w:r>
            <w:r w:rsidRPr="00F5017A">
              <w:rPr>
                <w:sz w:val="22"/>
                <w:szCs w:val="22"/>
              </w:rPr>
              <w:t xml:space="preserve">. Train staff involved in the control process for obtaining certified seeds and seedling materials in line with the EU regulations </w:t>
            </w:r>
          </w:p>
          <w:p w:rsidR="00757950" w:rsidRPr="00F5017A" w:rsidRDefault="00757950" w:rsidP="007229DD"/>
        </w:tc>
        <w:tc>
          <w:tcPr>
            <w:tcW w:w="2501" w:type="dxa"/>
            <w:gridSpan w:val="2"/>
          </w:tcPr>
          <w:p w:rsidR="00757950" w:rsidRPr="00F5017A" w:rsidRDefault="00757950" w:rsidP="007229DD">
            <w:r>
              <w:t>6.2</w:t>
            </w:r>
            <w:r w:rsidRPr="00F5017A">
              <w:t>.1 Trainings on seeds and seedling material certification</w:t>
            </w:r>
          </w:p>
        </w:tc>
        <w:tc>
          <w:tcPr>
            <w:tcW w:w="3543" w:type="dxa"/>
          </w:tcPr>
          <w:p w:rsidR="00757950" w:rsidRPr="00D9545F" w:rsidRDefault="00757950" w:rsidP="007229DD">
            <w:pPr>
              <w:pStyle w:val="Default"/>
              <w:spacing w:after="60"/>
              <w:rPr>
                <w:sz w:val="22"/>
                <w:szCs w:val="22"/>
              </w:rPr>
            </w:pPr>
            <w:r w:rsidRPr="00BD368B">
              <w:rPr>
                <w:sz w:val="22"/>
                <w:szCs w:val="22"/>
              </w:rPr>
              <w:t>6.</w:t>
            </w:r>
            <w:r>
              <w:rPr>
                <w:sz w:val="22"/>
                <w:szCs w:val="22"/>
              </w:rPr>
              <w:t>2</w:t>
            </w:r>
            <w:r w:rsidRPr="00BD368B">
              <w:rPr>
                <w:sz w:val="22"/>
                <w:szCs w:val="22"/>
              </w:rPr>
              <w:t>.1) Seminars and practical training on inspection and control of seeds and plant materials to be certified</w:t>
            </w:r>
          </w:p>
        </w:tc>
        <w:tc>
          <w:tcPr>
            <w:tcW w:w="2977" w:type="dxa"/>
            <w:gridSpan w:val="2"/>
            <w:vMerge w:val="restart"/>
          </w:tcPr>
          <w:p w:rsidR="00757950" w:rsidRPr="00F5017A" w:rsidRDefault="00757950" w:rsidP="007229DD">
            <w:r w:rsidRPr="00F5017A">
              <w:t xml:space="preserve">Annexes to Mission reports </w:t>
            </w:r>
          </w:p>
          <w:p w:rsidR="00757950" w:rsidRDefault="00757950" w:rsidP="007229DD">
            <w:r w:rsidRPr="00F5017A">
              <w:t>Annexes to Quarterly reports</w:t>
            </w:r>
          </w:p>
          <w:p w:rsidR="00757950" w:rsidRPr="00F5017A" w:rsidRDefault="00757950" w:rsidP="007229DD">
            <w:r w:rsidRPr="00F5017A">
              <w:t>Training courses certificates</w:t>
            </w:r>
          </w:p>
          <w:p w:rsidR="00757950" w:rsidRPr="00F5017A" w:rsidRDefault="00757950" w:rsidP="007229DD">
            <w:r w:rsidRPr="00F5017A">
              <w:t>Courses Evaluation sheets</w:t>
            </w:r>
          </w:p>
          <w:p w:rsidR="00757950" w:rsidRPr="00F5017A" w:rsidRDefault="00757950" w:rsidP="007229DD">
            <w:r w:rsidRPr="00F5017A">
              <w:t>Study visit report</w:t>
            </w:r>
          </w:p>
          <w:p w:rsidR="00757950" w:rsidRPr="00F5017A" w:rsidRDefault="00757950" w:rsidP="007229DD"/>
        </w:tc>
        <w:tc>
          <w:tcPr>
            <w:tcW w:w="2036" w:type="dxa"/>
            <w:vMerge w:val="restart"/>
          </w:tcPr>
          <w:p w:rsidR="00757950" w:rsidRPr="00F5017A" w:rsidRDefault="00757950" w:rsidP="007229DD">
            <w:pPr>
              <w:spacing w:after="120"/>
            </w:pPr>
            <w:r>
              <w:t>Availability of staff from all beneficiaries institutions</w:t>
            </w:r>
          </w:p>
          <w:p w:rsidR="00757950" w:rsidRPr="00F5017A" w:rsidRDefault="00757950" w:rsidP="007229DD">
            <w:pPr>
              <w:spacing w:after="120"/>
            </w:pPr>
          </w:p>
          <w:p w:rsidR="00757950" w:rsidRPr="00F5017A" w:rsidRDefault="00757950" w:rsidP="007229DD">
            <w:pPr>
              <w:spacing w:after="120"/>
            </w:pPr>
          </w:p>
          <w:p w:rsidR="00757950" w:rsidRPr="00F5017A" w:rsidRDefault="00757950" w:rsidP="007229DD">
            <w:pPr>
              <w:spacing w:after="120"/>
            </w:pPr>
          </w:p>
        </w:tc>
      </w:tr>
      <w:tr w:rsidR="00757950" w:rsidRPr="00F5017A" w:rsidTr="007229DD">
        <w:trPr>
          <w:trHeight w:val="757"/>
        </w:trPr>
        <w:tc>
          <w:tcPr>
            <w:tcW w:w="3085" w:type="dxa"/>
            <w:vMerge/>
          </w:tcPr>
          <w:p w:rsidR="00757950" w:rsidRPr="00F5017A" w:rsidRDefault="00757950" w:rsidP="007229DD">
            <w:pPr>
              <w:pStyle w:val="Default"/>
              <w:rPr>
                <w:sz w:val="22"/>
                <w:szCs w:val="22"/>
              </w:rPr>
            </w:pPr>
          </w:p>
        </w:tc>
        <w:tc>
          <w:tcPr>
            <w:tcW w:w="2501" w:type="dxa"/>
            <w:gridSpan w:val="2"/>
          </w:tcPr>
          <w:p w:rsidR="00757950" w:rsidRPr="00F5017A" w:rsidRDefault="00757950" w:rsidP="007229DD">
            <w:r>
              <w:t>6.2</w:t>
            </w:r>
            <w:r w:rsidRPr="00F5017A">
              <w:t>.2 Study visit on seeds and seedling material certification</w:t>
            </w:r>
          </w:p>
        </w:tc>
        <w:tc>
          <w:tcPr>
            <w:tcW w:w="3543" w:type="dxa"/>
          </w:tcPr>
          <w:p w:rsidR="00757950" w:rsidRPr="00F5017A" w:rsidRDefault="00757950" w:rsidP="007229DD">
            <w:pPr>
              <w:pStyle w:val="Default"/>
              <w:spacing w:after="60"/>
              <w:rPr>
                <w:sz w:val="22"/>
                <w:szCs w:val="22"/>
              </w:rPr>
            </w:pPr>
            <w:r w:rsidRPr="00E83FF0">
              <w:rPr>
                <w:sz w:val="22"/>
                <w:u w:color="000000"/>
              </w:rPr>
              <w:t>6.</w:t>
            </w:r>
            <w:r>
              <w:rPr>
                <w:sz w:val="22"/>
                <w:u w:color="000000"/>
              </w:rPr>
              <w:t>2</w:t>
            </w:r>
            <w:r w:rsidRPr="00E83FF0">
              <w:rPr>
                <w:sz w:val="22"/>
                <w:u w:color="000000"/>
              </w:rPr>
              <w:t>.2) A study visit (</w:t>
            </w:r>
            <w:r w:rsidRPr="00C32829">
              <w:rPr>
                <w:sz w:val="22"/>
                <w:u w:color="000000"/>
              </w:rPr>
              <w:t xml:space="preserve">for </w:t>
            </w:r>
            <w:r>
              <w:rPr>
                <w:sz w:val="22"/>
                <w:u w:color="000000"/>
              </w:rPr>
              <w:t xml:space="preserve">eight </w:t>
            </w:r>
            <w:r w:rsidRPr="00C32829">
              <w:rPr>
                <w:sz w:val="22"/>
                <w:u w:color="000000"/>
              </w:rPr>
              <w:t>staff</w:t>
            </w:r>
            <w:r w:rsidRPr="00E83FF0">
              <w:rPr>
                <w:sz w:val="22"/>
                <w:u w:color="000000"/>
              </w:rPr>
              <w:t>) dealing with certification of seeds and plant materials is carried out</w:t>
            </w:r>
          </w:p>
        </w:tc>
        <w:tc>
          <w:tcPr>
            <w:tcW w:w="2977" w:type="dxa"/>
            <w:gridSpan w:val="2"/>
            <w:vMerge/>
          </w:tcPr>
          <w:p w:rsidR="00757950" w:rsidRPr="00F5017A" w:rsidRDefault="00757950" w:rsidP="007229DD"/>
        </w:tc>
        <w:tc>
          <w:tcPr>
            <w:tcW w:w="2036" w:type="dxa"/>
            <w:vMerge/>
          </w:tcPr>
          <w:p w:rsidR="00757950" w:rsidRPr="00F5017A" w:rsidRDefault="00757950" w:rsidP="007229DD">
            <w:pPr>
              <w:spacing w:after="120"/>
            </w:pPr>
          </w:p>
        </w:tc>
      </w:tr>
      <w:tr w:rsidR="00757950" w:rsidRPr="00F5017A" w:rsidTr="007229DD">
        <w:tc>
          <w:tcPr>
            <w:tcW w:w="14142" w:type="dxa"/>
            <w:gridSpan w:val="7"/>
            <w:shd w:val="clear" w:color="auto" w:fill="E6E6E6"/>
          </w:tcPr>
          <w:p w:rsidR="00757950" w:rsidRPr="00F5017A" w:rsidRDefault="00757950" w:rsidP="007229DD">
            <w:pPr>
              <w:spacing w:after="120"/>
              <w:ind w:right="254"/>
            </w:pPr>
            <w:r w:rsidRPr="00F5017A">
              <w:rPr>
                <w:b/>
                <w:bCs/>
              </w:rPr>
              <w:t xml:space="preserve">Component 4: Plant protection products </w:t>
            </w:r>
          </w:p>
        </w:tc>
      </w:tr>
      <w:tr w:rsidR="00757950" w:rsidRPr="00F5017A" w:rsidTr="007229DD">
        <w:tc>
          <w:tcPr>
            <w:tcW w:w="14142" w:type="dxa"/>
            <w:gridSpan w:val="7"/>
            <w:shd w:val="clear" w:color="auto" w:fill="E6E6E6"/>
          </w:tcPr>
          <w:p w:rsidR="00757950" w:rsidRPr="00F5017A" w:rsidRDefault="00757950" w:rsidP="007229DD">
            <w:pPr>
              <w:spacing w:after="120"/>
              <w:ind w:right="254"/>
            </w:pPr>
            <w:r>
              <w:rPr>
                <w:b/>
                <w:bCs/>
              </w:rPr>
              <w:t>Action 1</w:t>
            </w:r>
            <w:r w:rsidRPr="00F5017A">
              <w:rPr>
                <w:b/>
                <w:bCs/>
              </w:rPr>
              <w:t xml:space="preserve">: </w:t>
            </w:r>
            <w:r>
              <w:rPr>
                <w:b/>
                <w:bCs/>
              </w:rPr>
              <w:t>Marketing of PPPs</w:t>
            </w:r>
          </w:p>
        </w:tc>
      </w:tr>
      <w:tr w:rsidR="00757950" w:rsidRPr="00F5017A" w:rsidTr="007229DD">
        <w:trPr>
          <w:trHeight w:val="841"/>
        </w:trPr>
        <w:tc>
          <w:tcPr>
            <w:tcW w:w="3085" w:type="dxa"/>
            <w:vMerge w:val="restart"/>
          </w:tcPr>
          <w:p w:rsidR="00757950" w:rsidRPr="00F5017A" w:rsidRDefault="00757950" w:rsidP="007229DD">
            <w:pPr>
              <w:pStyle w:val="Default"/>
              <w:rPr>
                <w:sz w:val="22"/>
                <w:szCs w:val="22"/>
              </w:rPr>
            </w:pPr>
            <w:r w:rsidRPr="00F5017A">
              <w:rPr>
                <w:sz w:val="22"/>
                <w:szCs w:val="22"/>
              </w:rPr>
              <w:t xml:space="preserve">7.1. Prepare draft Law on Plant Protection Products and secondary legislation aligned with Regulation (EC) 1107/2009 and draft secondary legislation in line with Directive (EC) 2009/128 </w:t>
            </w:r>
          </w:p>
        </w:tc>
        <w:tc>
          <w:tcPr>
            <w:tcW w:w="2501" w:type="dxa"/>
            <w:gridSpan w:val="2"/>
          </w:tcPr>
          <w:p w:rsidR="00757950" w:rsidRPr="00F5017A" w:rsidRDefault="00757950" w:rsidP="007229DD">
            <w:r w:rsidRPr="00F5017A">
              <w:t>7.1.1 Law on marketing of PPPs</w:t>
            </w:r>
          </w:p>
        </w:tc>
        <w:tc>
          <w:tcPr>
            <w:tcW w:w="3543" w:type="dxa"/>
          </w:tcPr>
          <w:p w:rsidR="00757950" w:rsidRPr="00F5017A" w:rsidRDefault="00757950" w:rsidP="007229DD">
            <w:pPr>
              <w:pStyle w:val="Default"/>
              <w:spacing w:after="60"/>
              <w:rPr>
                <w:sz w:val="22"/>
                <w:szCs w:val="22"/>
              </w:rPr>
            </w:pPr>
            <w:r w:rsidRPr="00BD368B">
              <w:rPr>
                <w:sz w:val="22"/>
                <w:szCs w:val="22"/>
              </w:rPr>
              <w:t xml:space="preserve">7.1.1) Development of a </w:t>
            </w:r>
            <w:r>
              <w:rPr>
                <w:sz w:val="22"/>
                <w:szCs w:val="22"/>
              </w:rPr>
              <w:t xml:space="preserve">proposal for the </w:t>
            </w:r>
            <w:r w:rsidRPr="00BD368B">
              <w:rPr>
                <w:sz w:val="22"/>
                <w:szCs w:val="22"/>
              </w:rPr>
              <w:t xml:space="preserve">Law </w:t>
            </w:r>
            <w:r>
              <w:rPr>
                <w:sz w:val="22"/>
                <w:szCs w:val="22"/>
              </w:rPr>
              <w:t xml:space="preserve">on </w:t>
            </w:r>
            <w:r w:rsidRPr="00BD368B">
              <w:rPr>
                <w:sz w:val="22"/>
                <w:szCs w:val="22"/>
              </w:rPr>
              <w:t>the marketing of Plant Protection Products</w:t>
            </w:r>
            <w:r>
              <w:rPr>
                <w:sz w:val="22"/>
                <w:szCs w:val="22"/>
              </w:rPr>
              <w:t xml:space="preserve"> and the related supporting documents</w:t>
            </w:r>
          </w:p>
          <w:p w:rsidR="00757950" w:rsidRPr="00F5017A" w:rsidRDefault="00757950" w:rsidP="007229DD">
            <w:pPr>
              <w:pStyle w:val="Body"/>
              <w:spacing w:after="60"/>
              <w:rPr>
                <w:rFonts w:ascii="Times New Roman" w:hAnsi="Times New Roman"/>
                <w:sz w:val="22"/>
                <w:szCs w:val="22"/>
                <w:u w:color="000000"/>
                <w:lang w:val="en-GB"/>
              </w:rPr>
            </w:pPr>
            <w:r w:rsidRPr="00F5017A">
              <w:rPr>
                <w:rFonts w:ascii="Times New Roman" w:hAnsi="Times New Roman"/>
                <w:sz w:val="22"/>
                <w:szCs w:val="22"/>
                <w:lang w:val="en-GB"/>
              </w:rPr>
              <w:t xml:space="preserve"> </w:t>
            </w:r>
          </w:p>
        </w:tc>
        <w:tc>
          <w:tcPr>
            <w:tcW w:w="2977" w:type="dxa"/>
            <w:gridSpan w:val="2"/>
            <w:vMerge w:val="restart"/>
          </w:tcPr>
          <w:p w:rsidR="00757950" w:rsidRDefault="00757950" w:rsidP="007229DD">
            <w:r w:rsidRPr="00F5017A">
              <w:t xml:space="preserve">Annexes to </w:t>
            </w:r>
            <w:r>
              <w:t xml:space="preserve">Quarterly and </w:t>
            </w:r>
            <w:r w:rsidRPr="00F5017A">
              <w:t>Final Report</w:t>
            </w:r>
            <w:r>
              <w:t>s</w:t>
            </w:r>
          </w:p>
          <w:p w:rsidR="00757950" w:rsidRDefault="00757950" w:rsidP="007229DD">
            <w:r w:rsidRPr="00B3607E">
              <w:t>PHPA website</w:t>
            </w:r>
          </w:p>
          <w:p w:rsidR="00757950" w:rsidRDefault="00757950" w:rsidP="007229DD">
            <w:r w:rsidRPr="00B3607E">
              <w:t>BiH Official Gazette</w:t>
            </w:r>
          </w:p>
          <w:p w:rsidR="00757950" w:rsidRPr="00F5017A" w:rsidRDefault="00757950" w:rsidP="007229DD"/>
        </w:tc>
        <w:tc>
          <w:tcPr>
            <w:tcW w:w="2036" w:type="dxa"/>
            <w:vMerge w:val="restart"/>
          </w:tcPr>
          <w:p w:rsidR="00757950" w:rsidRPr="00F5017A" w:rsidRDefault="00757950" w:rsidP="007229DD">
            <w:pPr>
              <w:spacing w:after="120"/>
            </w:pPr>
          </w:p>
        </w:tc>
      </w:tr>
      <w:tr w:rsidR="00757950" w:rsidRPr="00F5017A" w:rsidTr="007229DD">
        <w:trPr>
          <w:trHeight w:val="983"/>
        </w:trPr>
        <w:tc>
          <w:tcPr>
            <w:tcW w:w="3085" w:type="dxa"/>
            <w:vMerge/>
          </w:tcPr>
          <w:p w:rsidR="00757950" w:rsidRPr="00F5017A" w:rsidRDefault="00757950" w:rsidP="007229DD">
            <w:pPr>
              <w:pStyle w:val="Default"/>
              <w:rPr>
                <w:sz w:val="22"/>
                <w:szCs w:val="22"/>
              </w:rPr>
            </w:pPr>
          </w:p>
        </w:tc>
        <w:tc>
          <w:tcPr>
            <w:tcW w:w="2501" w:type="dxa"/>
            <w:gridSpan w:val="2"/>
          </w:tcPr>
          <w:p w:rsidR="00757950" w:rsidRPr="00F5017A" w:rsidRDefault="00757950" w:rsidP="007229DD">
            <w:r w:rsidRPr="00F5017A">
              <w:t xml:space="preserve">7.1.2 </w:t>
            </w:r>
            <w:r>
              <w:t>Drafting p</w:t>
            </w:r>
            <w:r w:rsidRPr="00F5017A">
              <w:t>rovisions on sustainable use of pesticides</w:t>
            </w:r>
          </w:p>
        </w:tc>
        <w:tc>
          <w:tcPr>
            <w:tcW w:w="3543" w:type="dxa"/>
          </w:tcPr>
          <w:p w:rsidR="00757950" w:rsidRPr="00F5017A" w:rsidRDefault="00757950" w:rsidP="007229DD">
            <w:pPr>
              <w:pStyle w:val="Default"/>
              <w:spacing w:after="60"/>
              <w:rPr>
                <w:sz w:val="22"/>
                <w:szCs w:val="22"/>
              </w:rPr>
            </w:pPr>
            <w:r w:rsidRPr="00F5017A">
              <w:rPr>
                <w:sz w:val="22"/>
                <w:szCs w:val="22"/>
              </w:rPr>
              <w:t xml:space="preserve">7.1.2.1) Development of a regulation establishing IPM practices according to Dir 2009/128 </w:t>
            </w:r>
          </w:p>
          <w:p w:rsidR="00757950" w:rsidRPr="00F5017A" w:rsidRDefault="00757950" w:rsidP="007229DD">
            <w:pPr>
              <w:pStyle w:val="Default"/>
              <w:spacing w:after="60"/>
              <w:rPr>
                <w:sz w:val="22"/>
                <w:szCs w:val="22"/>
              </w:rPr>
            </w:pPr>
            <w:r w:rsidRPr="00F5017A">
              <w:rPr>
                <w:sz w:val="22"/>
                <w:szCs w:val="22"/>
              </w:rPr>
              <w:t xml:space="preserve">7.1.2.2) Development of an Action Plan for </w:t>
            </w:r>
            <w:proofErr w:type="spellStart"/>
            <w:r w:rsidRPr="00F5017A">
              <w:rPr>
                <w:sz w:val="22"/>
                <w:szCs w:val="22"/>
              </w:rPr>
              <w:t>BiH</w:t>
            </w:r>
            <w:proofErr w:type="spellEnd"/>
            <w:r w:rsidRPr="00F5017A">
              <w:rPr>
                <w:sz w:val="22"/>
                <w:szCs w:val="22"/>
              </w:rPr>
              <w:t xml:space="preserve"> for implementing IPM principles in major crops </w:t>
            </w:r>
          </w:p>
          <w:p w:rsidR="00757950" w:rsidRDefault="00757950" w:rsidP="007229DD">
            <w:pPr>
              <w:pStyle w:val="Default"/>
              <w:spacing w:after="60"/>
              <w:rPr>
                <w:sz w:val="22"/>
                <w:szCs w:val="22"/>
              </w:rPr>
            </w:pPr>
            <w:r w:rsidRPr="00F5017A">
              <w:rPr>
                <w:sz w:val="22"/>
                <w:szCs w:val="22"/>
              </w:rPr>
              <w:t xml:space="preserve">7.1.2.3) Drafting of </w:t>
            </w:r>
            <w:r>
              <w:rPr>
                <w:sz w:val="22"/>
                <w:szCs w:val="22"/>
              </w:rPr>
              <w:t xml:space="preserve">guidelines and other documents for IPM implementation </w:t>
            </w:r>
            <w:r w:rsidRPr="00F5017A">
              <w:rPr>
                <w:sz w:val="22"/>
                <w:szCs w:val="22"/>
              </w:rPr>
              <w:t>related to measures foreseen in the Action Plan</w:t>
            </w:r>
          </w:p>
          <w:p w:rsidR="00757950" w:rsidRPr="00F5017A" w:rsidRDefault="00757950" w:rsidP="007229DD">
            <w:pPr>
              <w:pStyle w:val="Default"/>
              <w:spacing w:after="60"/>
              <w:rPr>
                <w:sz w:val="22"/>
                <w:szCs w:val="22"/>
              </w:rPr>
            </w:pPr>
            <w:r>
              <w:rPr>
                <w:sz w:val="22"/>
                <w:szCs w:val="22"/>
              </w:rPr>
              <w:t xml:space="preserve">7.1.2.4) </w:t>
            </w:r>
            <w:r w:rsidRPr="00543DAD">
              <w:rPr>
                <w:sz w:val="22"/>
                <w:szCs w:val="22"/>
              </w:rPr>
              <w:t>Editing three guidelines for IPM</w:t>
            </w:r>
          </w:p>
        </w:tc>
        <w:tc>
          <w:tcPr>
            <w:tcW w:w="2977" w:type="dxa"/>
            <w:gridSpan w:val="2"/>
            <w:vMerge/>
          </w:tcPr>
          <w:p w:rsidR="00757950" w:rsidRPr="00F5017A" w:rsidRDefault="00757950" w:rsidP="007229DD"/>
        </w:tc>
        <w:tc>
          <w:tcPr>
            <w:tcW w:w="2036" w:type="dxa"/>
            <w:vMerge/>
          </w:tcPr>
          <w:p w:rsidR="00757950" w:rsidRPr="00F5017A" w:rsidRDefault="00757950" w:rsidP="007229DD">
            <w:pPr>
              <w:spacing w:after="120"/>
            </w:pPr>
          </w:p>
        </w:tc>
      </w:tr>
      <w:tr w:rsidR="00757950" w:rsidRPr="00F5017A" w:rsidTr="007229DD">
        <w:tc>
          <w:tcPr>
            <w:tcW w:w="3085" w:type="dxa"/>
          </w:tcPr>
          <w:p w:rsidR="00757950" w:rsidRPr="00F5017A" w:rsidRDefault="00757950" w:rsidP="007229DD">
            <w:pPr>
              <w:pStyle w:val="Default"/>
              <w:rPr>
                <w:sz w:val="22"/>
                <w:szCs w:val="22"/>
              </w:rPr>
            </w:pPr>
            <w:r w:rsidRPr="00F5017A">
              <w:rPr>
                <w:sz w:val="22"/>
                <w:szCs w:val="22"/>
              </w:rPr>
              <w:lastRenderedPageBreak/>
              <w:t xml:space="preserve">7.2. Draft guidelines necessary to support the registration process for PPP </w:t>
            </w:r>
          </w:p>
          <w:p w:rsidR="00757950" w:rsidRPr="00F5017A" w:rsidRDefault="00757950" w:rsidP="007229DD">
            <w:pPr>
              <w:pStyle w:val="Body"/>
              <w:spacing w:after="0"/>
              <w:rPr>
                <w:rFonts w:ascii="Times New Roman" w:hAnsi="Times New Roman"/>
                <w:sz w:val="22"/>
                <w:szCs w:val="22"/>
                <w:lang w:val="en-GB"/>
              </w:rPr>
            </w:pPr>
          </w:p>
        </w:tc>
        <w:tc>
          <w:tcPr>
            <w:tcW w:w="2501" w:type="dxa"/>
            <w:gridSpan w:val="2"/>
          </w:tcPr>
          <w:p w:rsidR="00757950" w:rsidRPr="00F5017A" w:rsidRDefault="00757950" w:rsidP="007229DD"/>
        </w:tc>
        <w:tc>
          <w:tcPr>
            <w:tcW w:w="3543" w:type="dxa"/>
          </w:tcPr>
          <w:p w:rsidR="00757950" w:rsidRPr="00F5017A" w:rsidRDefault="00757950" w:rsidP="007229DD">
            <w:pPr>
              <w:pStyle w:val="Default"/>
              <w:spacing w:after="60"/>
              <w:rPr>
                <w:sz w:val="22"/>
                <w:szCs w:val="22"/>
              </w:rPr>
            </w:pPr>
            <w:r w:rsidRPr="00F5017A">
              <w:rPr>
                <w:sz w:val="22"/>
                <w:szCs w:val="22"/>
              </w:rPr>
              <w:t xml:space="preserve">7.2.1) Preparation of administrative procedures for management of PPP dossier </w:t>
            </w:r>
          </w:p>
          <w:p w:rsidR="00757950" w:rsidRPr="00F5017A" w:rsidRDefault="00757950" w:rsidP="007229DD">
            <w:pPr>
              <w:pStyle w:val="Default"/>
              <w:spacing w:after="60"/>
              <w:rPr>
                <w:sz w:val="22"/>
                <w:szCs w:val="22"/>
              </w:rPr>
            </w:pPr>
            <w:r w:rsidRPr="00F5017A">
              <w:rPr>
                <w:sz w:val="22"/>
                <w:szCs w:val="22"/>
              </w:rPr>
              <w:t xml:space="preserve">7.2.2) Develop a series of guidelines to support the work of specialists evaluating PPP dossiers </w:t>
            </w:r>
          </w:p>
        </w:tc>
        <w:tc>
          <w:tcPr>
            <w:tcW w:w="2977" w:type="dxa"/>
            <w:gridSpan w:val="2"/>
          </w:tcPr>
          <w:p w:rsidR="00757950" w:rsidRPr="00F5017A" w:rsidRDefault="00757950" w:rsidP="007229DD">
            <w:r w:rsidRPr="00F5017A">
              <w:t xml:space="preserve">Annexes to Mission reports </w:t>
            </w:r>
          </w:p>
          <w:p w:rsidR="00757950" w:rsidRDefault="00757950" w:rsidP="007229DD">
            <w:r w:rsidRPr="00F5017A">
              <w:t>Annexes to Quarterly reports</w:t>
            </w:r>
          </w:p>
          <w:p w:rsidR="00757950" w:rsidRDefault="00757950" w:rsidP="007229DD">
            <w:r w:rsidRPr="00B3607E">
              <w:t>PHPA website</w:t>
            </w:r>
          </w:p>
          <w:p w:rsidR="00757950" w:rsidRDefault="00757950" w:rsidP="007229DD"/>
          <w:p w:rsidR="00757950" w:rsidRPr="00F5017A" w:rsidRDefault="00757950" w:rsidP="007229DD"/>
        </w:tc>
        <w:tc>
          <w:tcPr>
            <w:tcW w:w="2036" w:type="dxa"/>
          </w:tcPr>
          <w:p w:rsidR="00757950" w:rsidRPr="00F5017A" w:rsidRDefault="00757950" w:rsidP="007229DD">
            <w:pPr>
              <w:spacing w:after="120"/>
            </w:pPr>
            <w:r>
              <w:t>Availability of experts from different institutions on the different subjects dealt with by the dossier</w:t>
            </w:r>
          </w:p>
        </w:tc>
      </w:tr>
      <w:tr w:rsidR="00757950" w:rsidRPr="00F5017A" w:rsidTr="007229DD">
        <w:tc>
          <w:tcPr>
            <w:tcW w:w="3085" w:type="dxa"/>
          </w:tcPr>
          <w:p w:rsidR="00757950" w:rsidRPr="00F5017A" w:rsidRDefault="00757950" w:rsidP="007229DD">
            <w:pPr>
              <w:pStyle w:val="Default"/>
              <w:rPr>
                <w:sz w:val="22"/>
                <w:szCs w:val="22"/>
              </w:rPr>
            </w:pPr>
            <w:r w:rsidRPr="00F5017A">
              <w:rPr>
                <w:sz w:val="22"/>
                <w:szCs w:val="22"/>
              </w:rPr>
              <w:t xml:space="preserve">7.3. Train PPP dossier evaluators on Uniform Principles and administrative staff on risk management and coordination of PPPs dossier management </w:t>
            </w:r>
          </w:p>
        </w:tc>
        <w:tc>
          <w:tcPr>
            <w:tcW w:w="2501" w:type="dxa"/>
            <w:gridSpan w:val="2"/>
          </w:tcPr>
          <w:p w:rsidR="00757950" w:rsidRPr="00F5017A" w:rsidRDefault="00757950" w:rsidP="007229DD"/>
        </w:tc>
        <w:tc>
          <w:tcPr>
            <w:tcW w:w="3543" w:type="dxa"/>
          </w:tcPr>
          <w:p w:rsidR="00757950" w:rsidRPr="00F5017A" w:rsidRDefault="00757950" w:rsidP="007229DD">
            <w:pPr>
              <w:pStyle w:val="Body"/>
              <w:spacing w:after="60"/>
              <w:rPr>
                <w:rFonts w:ascii="Times New Roman" w:hAnsi="Times New Roman"/>
                <w:sz w:val="22"/>
                <w:szCs w:val="22"/>
                <w:u w:color="000000"/>
                <w:lang w:val="en-GB"/>
              </w:rPr>
            </w:pPr>
            <w:r w:rsidRPr="00F5017A">
              <w:rPr>
                <w:rFonts w:ascii="Times New Roman" w:hAnsi="Times New Roman"/>
                <w:sz w:val="22"/>
                <w:szCs w:val="22"/>
                <w:lang w:val="en-GB"/>
              </w:rPr>
              <w:t xml:space="preserve">7.3) An array of practical trainings on case studies is carried out </w:t>
            </w:r>
          </w:p>
        </w:tc>
        <w:tc>
          <w:tcPr>
            <w:tcW w:w="2977" w:type="dxa"/>
            <w:gridSpan w:val="2"/>
          </w:tcPr>
          <w:p w:rsidR="00757950" w:rsidRPr="00F5017A" w:rsidRDefault="00757950" w:rsidP="007229DD">
            <w:r w:rsidRPr="00F5017A">
              <w:t xml:space="preserve">Annexes to Mission reports </w:t>
            </w:r>
          </w:p>
          <w:p w:rsidR="00757950" w:rsidRDefault="00757950" w:rsidP="007229DD">
            <w:r w:rsidRPr="00F5017A">
              <w:t>Annexes to Quarterly reports</w:t>
            </w:r>
          </w:p>
          <w:p w:rsidR="00757950" w:rsidRPr="00F5017A" w:rsidRDefault="00757950" w:rsidP="007229DD">
            <w:r w:rsidRPr="00F5017A">
              <w:t>Training courses certificates</w:t>
            </w:r>
          </w:p>
          <w:p w:rsidR="00757950" w:rsidRPr="00F5017A" w:rsidRDefault="00757950" w:rsidP="007229DD">
            <w:r w:rsidRPr="00F5017A">
              <w:t>Courses Evaluation sheets</w:t>
            </w:r>
          </w:p>
          <w:p w:rsidR="00757950" w:rsidRPr="00F5017A" w:rsidRDefault="00757950" w:rsidP="007229DD"/>
        </w:tc>
        <w:tc>
          <w:tcPr>
            <w:tcW w:w="2036" w:type="dxa"/>
          </w:tcPr>
          <w:p w:rsidR="00757950" w:rsidRPr="00F5017A" w:rsidRDefault="00757950" w:rsidP="007229DD">
            <w:pPr>
              <w:spacing w:after="120"/>
            </w:pPr>
          </w:p>
        </w:tc>
      </w:tr>
      <w:tr w:rsidR="00757950" w:rsidRPr="00F5017A" w:rsidTr="007229DD">
        <w:tc>
          <w:tcPr>
            <w:tcW w:w="3085" w:type="dxa"/>
          </w:tcPr>
          <w:p w:rsidR="00757950" w:rsidRPr="00F5017A" w:rsidRDefault="00757950" w:rsidP="007229DD">
            <w:pPr>
              <w:pStyle w:val="Default"/>
              <w:rPr>
                <w:sz w:val="22"/>
                <w:szCs w:val="22"/>
              </w:rPr>
            </w:pPr>
            <w:r w:rsidRPr="00F5017A">
              <w:rPr>
                <w:sz w:val="22"/>
                <w:szCs w:val="22"/>
              </w:rPr>
              <w:t xml:space="preserve">7.4. Develop tools for information dissemination to stakeholders </w:t>
            </w:r>
          </w:p>
        </w:tc>
        <w:tc>
          <w:tcPr>
            <w:tcW w:w="2501" w:type="dxa"/>
            <w:gridSpan w:val="2"/>
          </w:tcPr>
          <w:p w:rsidR="00757950" w:rsidRPr="00F5017A" w:rsidRDefault="00757950" w:rsidP="007229DD"/>
        </w:tc>
        <w:tc>
          <w:tcPr>
            <w:tcW w:w="3543" w:type="dxa"/>
          </w:tcPr>
          <w:p w:rsidR="00757950" w:rsidRDefault="00757950" w:rsidP="007229DD">
            <w:pPr>
              <w:pStyle w:val="Body"/>
              <w:tabs>
                <w:tab w:val="left" w:pos="3374"/>
              </w:tabs>
              <w:spacing w:after="0"/>
              <w:rPr>
                <w:rFonts w:ascii="Times New Roman" w:hAnsi="Times New Roman"/>
                <w:sz w:val="22"/>
                <w:szCs w:val="22"/>
                <w:lang w:val="en-GB"/>
              </w:rPr>
            </w:pPr>
            <w:r w:rsidRPr="00BD368B">
              <w:rPr>
                <w:rFonts w:ascii="Times New Roman" w:hAnsi="Times New Roman"/>
                <w:sz w:val="22"/>
                <w:szCs w:val="22"/>
                <w:lang w:val="en-GB"/>
              </w:rPr>
              <w:t>7.4</w:t>
            </w:r>
            <w:r>
              <w:rPr>
                <w:rFonts w:ascii="Times New Roman" w:hAnsi="Times New Roman"/>
                <w:sz w:val="22"/>
                <w:szCs w:val="22"/>
                <w:lang w:val="en-GB"/>
              </w:rPr>
              <w:t>.1</w:t>
            </w:r>
            <w:r w:rsidRPr="00BD368B">
              <w:rPr>
                <w:rFonts w:ascii="Times New Roman" w:hAnsi="Times New Roman"/>
                <w:sz w:val="22"/>
                <w:szCs w:val="22"/>
                <w:lang w:val="en-GB"/>
              </w:rPr>
              <w:t xml:space="preserve">) An Internet-based system for information </w:t>
            </w:r>
            <w:r>
              <w:rPr>
                <w:rFonts w:ascii="Times New Roman" w:hAnsi="Times New Roman"/>
                <w:sz w:val="22"/>
                <w:szCs w:val="22"/>
                <w:lang w:val="en-GB"/>
              </w:rPr>
              <w:t xml:space="preserve">dissemination </w:t>
            </w:r>
            <w:r w:rsidRPr="00BD368B">
              <w:rPr>
                <w:rFonts w:ascii="Times New Roman" w:hAnsi="Times New Roman"/>
                <w:sz w:val="22"/>
                <w:szCs w:val="22"/>
                <w:lang w:val="en-GB"/>
              </w:rPr>
              <w:t>is delivered</w:t>
            </w:r>
          </w:p>
          <w:p w:rsidR="00757950" w:rsidRPr="00F930D6" w:rsidRDefault="00757950" w:rsidP="007229DD">
            <w:pPr>
              <w:pStyle w:val="Default"/>
              <w:spacing w:after="60"/>
              <w:rPr>
                <w:sz w:val="22"/>
                <w:szCs w:val="22"/>
              </w:rPr>
            </w:pPr>
            <w:r>
              <w:rPr>
                <w:u w:color="000000"/>
              </w:rPr>
              <w:t>7.4.2) An array of trainings for operators on PPP use and IPM implementation</w:t>
            </w:r>
            <w:r w:rsidRPr="00F5017A">
              <w:rPr>
                <w:sz w:val="22"/>
                <w:szCs w:val="22"/>
              </w:rPr>
              <w:t xml:space="preserve"> </w:t>
            </w:r>
          </w:p>
        </w:tc>
        <w:tc>
          <w:tcPr>
            <w:tcW w:w="2977" w:type="dxa"/>
            <w:gridSpan w:val="2"/>
          </w:tcPr>
          <w:p w:rsidR="00757950" w:rsidRDefault="00757950" w:rsidP="007229DD">
            <w:r w:rsidRPr="00F5017A">
              <w:t>Annexes to Final Report</w:t>
            </w:r>
          </w:p>
          <w:p w:rsidR="00757950" w:rsidRDefault="00757950" w:rsidP="007229DD">
            <w:r w:rsidRPr="00B3607E">
              <w:t>PHPA website</w:t>
            </w:r>
          </w:p>
          <w:p w:rsidR="00757950" w:rsidRPr="00F5017A" w:rsidRDefault="00757950" w:rsidP="007229DD"/>
        </w:tc>
        <w:tc>
          <w:tcPr>
            <w:tcW w:w="2036" w:type="dxa"/>
          </w:tcPr>
          <w:p w:rsidR="00757950" w:rsidRPr="00F5017A" w:rsidRDefault="00757950" w:rsidP="007229DD">
            <w:pPr>
              <w:spacing w:after="120"/>
            </w:pPr>
            <w:r>
              <w:t>Upgradability of PHPA website</w:t>
            </w:r>
          </w:p>
        </w:tc>
      </w:tr>
      <w:tr w:rsidR="00757950" w:rsidRPr="00F5017A" w:rsidTr="007229DD">
        <w:tc>
          <w:tcPr>
            <w:tcW w:w="14142" w:type="dxa"/>
            <w:gridSpan w:val="7"/>
            <w:shd w:val="clear" w:color="auto" w:fill="E6E6E6"/>
          </w:tcPr>
          <w:p w:rsidR="00757950" w:rsidRPr="00F5017A" w:rsidRDefault="00757950" w:rsidP="007229DD">
            <w:pPr>
              <w:spacing w:after="120"/>
              <w:ind w:right="254"/>
            </w:pPr>
            <w:r>
              <w:rPr>
                <w:b/>
                <w:bCs/>
              </w:rPr>
              <w:t>Action 2</w:t>
            </w:r>
            <w:r w:rsidRPr="00F5017A">
              <w:rPr>
                <w:b/>
                <w:bCs/>
              </w:rPr>
              <w:t xml:space="preserve">: </w:t>
            </w:r>
            <w:r>
              <w:rPr>
                <w:b/>
                <w:bCs/>
              </w:rPr>
              <w:t>Monitoring of PPPs and their residues</w:t>
            </w:r>
          </w:p>
        </w:tc>
      </w:tr>
      <w:tr w:rsidR="00757950" w:rsidRPr="00F5017A" w:rsidTr="007229DD">
        <w:trPr>
          <w:trHeight w:val="1101"/>
        </w:trPr>
        <w:tc>
          <w:tcPr>
            <w:tcW w:w="3085" w:type="dxa"/>
          </w:tcPr>
          <w:p w:rsidR="00757950" w:rsidRPr="00F5017A" w:rsidRDefault="00757950" w:rsidP="007229DD">
            <w:pPr>
              <w:pStyle w:val="Default"/>
              <w:rPr>
                <w:sz w:val="22"/>
                <w:szCs w:val="22"/>
              </w:rPr>
            </w:pPr>
            <w:r w:rsidRPr="00F5017A">
              <w:rPr>
                <w:sz w:val="22"/>
                <w:szCs w:val="22"/>
              </w:rPr>
              <w:t xml:space="preserve">8.1. Draft guidelines for the establishment of annual monitoring program for PPP residues and control </w:t>
            </w:r>
          </w:p>
        </w:tc>
        <w:tc>
          <w:tcPr>
            <w:tcW w:w="2501" w:type="dxa"/>
            <w:gridSpan w:val="2"/>
          </w:tcPr>
          <w:p w:rsidR="00757950" w:rsidRPr="00F5017A" w:rsidRDefault="00757950" w:rsidP="007229DD"/>
        </w:tc>
        <w:tc>
          <w:tcPr>
            <w:tcW w:w="3543" w:type="dxa"/>
          </w:tcPr>
          <w:p w:rsidR="00757950" w:rsidRDefault="00757950" w:rsidP="007229DD">
            <w:pPr>
              <w:pStyle w:val="Body"/>
              <w:tabs>
                <w:tab w:val="left" w:pos="1408"/>
              </w:tabs>
              <w:spacing w:after="0"/>
              <w:rPr>
                <w:rFonts w:ascii="Times New Roman" w:hAnsi="Times New Roman"/>
                <w:sz w:val="22"/>
                <w:szCs w:val="22"/>
                <w:lang w:val="en-GB"/>
              </w:rPr>
            </w:pPr>
            <w:r w:rsidRPr="00BD368B">
              <w:rPr>
                <w:rFonts w:ascii="Times New Roman" w:hAnsi="Times New Roman"/>
                <w:sz w:val="22"/>
                <w:szCs w:val="22"/>
                <w:lang w:val="en-GB"/>
              </w:rPr>
              <w:t>8.1</w:t>
            </w:r>
            <w:r>
              <w:rPr>
                <w:rFonts w:ascii="Times New Roman" w:hAnsi="Times New Roman"/>
                <w:sz w:val="22"/>
                <w:szCs w:val="22"/>
                <w:lang w:val="en-GB"/>
              </w:rPr>
              <w:t>.1</w:t>
            </w:r>
            <w:r w:rsidRPr="00BD368B">
              <w:rPr>
                <w:rFonts w:ascii="Times New Roman" w:hAnsi="Times New Roman"/>
                <w:sz w:val="22"/>
                <w:szCs w:val="22"/>
                <w:lang w:val="en-GB"/>
              </w:rPr>
              <w:t xml:space="preserve">) </w:t>
            </w:r>
            <w:r>
              <w:rPr>
                <w:rFonts w:ascii="Times New Roman" w:hAnsi="Times New Roman"/>
                <w:sz w:val="22"/>
                <w:szCs w:val="22"/>
                <w:lang w:val="en-GB"/>
              </w:rPr>
              <w:t xml:space="preserve">Guidelines </w:t>
            </w:r>
            <w:r w:rsidRPr="00BD368B">
              <w:rPr>
                <w:rFonts w:ascii="Times New Roman" w:hAnsi="Times New Roman"/>
                <w:sz w:val="22"/>
                <w:szCs w:val="22"/>
                <w:lang w:val="en-GB"/>
              </w:rPr>
              <w:t xml:space="preserve">defining </w:t>
            </w:r>
            <w:r>
              <w:rPr>
                <w:rFonts w:ascii="Times New Roman" w:hAnsi="Times New Roman"/>
                <w:sz w:val="22"/>
                <w:szCs w:val="22"/>
                <w:lang w:val="en-GB"/>
              </w:rPr>
              <w:t xml:space="preserve">the criteria and principles </w:t>
            </w:r>
            <w:r w:rsidRPr="00BD368B">
              <w:rPr>
                <w:rFonts w:ascii="Times New Roman" w:hAnsi="Times New Roman"/>
                <w:sz w:val="22"/>
                <w:szCs w:val="22"/>
                <w:lang w:val="en-GB"/>
              </w:rPr>
              <w:t>to establish a multi-annual monitoring program of PPP is prepared</w:t>
            </w:r>
          </w:p>
          <w:p w:rsidR="00757950" w:rsidRPr="00F5017A" w:rsidRDefault="00757950" w:rsidP="007229DD">
            <w:pPr>
              <w:pStyle w:val="Body"/>
              <w:spacing w:after="60"/>
              <w:rPr>
                <w:rFonts w:ascii="Times New Roman" w:hAnsi="Times New Roman"/>
                <w:sz w:val="22"/>
                <w:szCs w:val="22"/>
                <w:u w:color="000000"/>
                <w:lang w:val="en-GB"/>
              </w:rPr>
            </w:pPr>
            <w:r>
              <w:rPr>
                <w:rFonts w:ascii="Times New Roman" w:hAnsi="Times New Roman"/>
                <w:sz w:val="22"/>
                <w:szCs w:val="22"/>
                <w:lang w:val="en-GB"/>
              </w:rPr>
              <w:t>8.1.2) A proposal for a multi-annual plan is drafted</w:t>
            </w:r>
            <w:r w:rsidRPr="00F5017A">
              <w:rPr>
                <w:rFonts w:ascii="Times New Roman" w:hAnsi="Times New Roman"/>
                <w:sz w:val="22"/>
                <w:szCs w:val="22"/>
                <w:u w:color="000000"/>
                <w:lang w:val="en-GB"/>
              </w:rPr>
              <w:t xml:space="preserve"> </w:t>
            </w:r>
          </w:p>
        </w:tc>
        <w:tc>
          <w:tcPr>
            <w:tcW w:w="2977" w:type="dxa"/>
            <w:gridSpan w:val="2"/>
          </w:tcPr>
          <w:p w:rsidR="00757950" w:rsidRPr="00F5017A" w:rsidRDefault="00757950" w:rsidP="007229DD">
            <w:r w:rsidRPr="00F5017A">
              <w:t xml:space="preserve">Annexes to Mission reports </w:t>
            </w:r>
          </w:p>
          <w:p w:rsidR="00757950" w:rsidRDefault="00757950" w:rsidP="007229DD">
            <w:r w:rsidRPr="00F5017A">
              <w:t>Annexes to Quarterly reports</w:t>
            </w:r>
          </w:p>
          <w:p w:rsidR="00757950" w:rsidRPr="00F5017A" w:rsidRDefault="00757950" w:rsidP="007229DD"/>
        </w:tc>
        <w:tc>
          <w:tcPr>
            <w:tcW w:w="2036" w:type="dxa"/>
          </w:tcPr>
          <w:p w:rsidR="00757950" w:rsidRPr="00F5017A" w:rsidRDefault="00757950" w:rsidP="007229DD">
            <w:pPr>
              <w:spacing w:after="120"/>
            </w:pPr>
            <w:r>
              <w:t>Coordination among different institutions from state, entities and Brcko district</w:t>
            </w:r>
          </w:p>
        </w:tc>
      </w:tr>
      <w:tr w:rsidR="00757950" w:rsidRPr="00F5017A" w:rsidTr="007229DD">
        <w:tc>
          <w:tcPr>
            <w:tcW w:w="3085" w:type="dxa"/>
          </w:tcPr>
          <w:p w:rsidR="00757950" w:rsidRPr="00F5017A" w:rsidRDefault="00757950" w:rsidP="007229DD">
            <w:pPr>
              <w:pStyle w:val="Default"/>
              <w:rPr>
                <w:sz w:val="22"/>
                <w:szCs w:val="22"/>
              </w:rPr>
            </w:pPr>
            <w:r w:rsidRPr="00F5017A">
              <w:rPr>
                <w:sz w:val="22"/>
                <w:szCs w:val="22"/>
              </w:rPr>
              <w:t xml:space="preserve">8.2. Draft instructions for sampling on farm level </w:t>
            </w:r>
          </w:p>
          <w:p w:rsidR="00757950" w:rsidRPr="00F5017A" w:rsidRDefault="00757950" w:rsidP="007229DD">
            <w:pPr>
              <w:pStyle w:val="Body"/>
              <w:spacing w:after="0"/>
              <w:rPr>
                <w:rFonts w:ascii="Times New Roman" w:hAnsi="Times New Roman"/>
                <w:sz w:val="22"/>
                <w:szCs w:val="22"/>
                <w:lang w:val="en-GB"/>
              </w:rPr>
            </w:pPr>
          </w:p>
        </w:tc>
        <w:tc>
          <w:tcPr>
            <w:tcW w:w="2501" w:type="dxa"/>
            <w:gridSpan w:val="2"/>
          </w:tcPr>
          <w:p w:rsidR="00757950" w:rsidRPr="00F5017A" w:rsidRDefault="00757950" w:rsidP="007229DD"/>
        </w:tc>
        <w:tc>
          <w:tcPr>
            <w:tcW w:w="3543" w:type="dxa"/>
          </w:tcPr>
          <w:p w:rsidR="00757950" w:rsidRPr="003020AD" w:rsidRDefault="00757950" w:rsidP="007229DD">
            <w:pPr>
              <w:pStyle w:val="Default"/>
              <w:spacing w:after="60"/>
              <w:rPr>
                <w:sz w:val="22"/>
                <w:szCs w:val="22"/>
              </w:rPr>
            </w:pPr>
            <w:r w:rsidRPr="00F5017A">
              <w:rPr>
                <w:sz w:val="22"/>
                <w:szCs w:val="22"/>
              </w:rPr>
              <w:t xml:space="preserve">8.2) A manual for inspectors with instructions for sampling of different materials of plant origin is prepared </w:t>
            </w:r>
          </w:p>
        </w:tc>
        <w:tc>
          <w:tcPr>
            <w:tcW w:w="2977" w:type="dxa"/>
            <w:gridSpan w:val="2"/>
          </w:tcPr>
          <w:p w:rsidR="00757950" w:rsidRPr="00F5017A" w:rsidRDefault="00757950" w:rsidP="007229DD">
            <w:r w:rsidRPr="00F5017A">
              <w:t xml:space="preserve">Annexes to Mission reports </w:t>
            </w:r>
          </w:p>
          <w:p w:rsidR="00757950" w:rsidRDefault="00757950" w:rsidP="007229DD">
            <w:r w:rsidRPr="00F5017A">
              <w:t>Annexes to Quarterly reports</w:t>
            </w:r>
          </w:p>
          <w:p w:rsidR="00757950" w:rsidRPr="00F5017A" w:rsidRDefault="00757950" w:rsidP="007229DD"/>
        </w:tc>
        <w:tc>
          <w:tcPr>
            <w:tcW w:w="2036" w:type="dxa"/>
          </w:tcPr>
          <w:p w:rsidR="00757950" w:rsidRPr="00F5017A" w:rsidRDefault="00757950" w:rsidP="007229DD">
            <w:pPr>
              <w:spacing w:after="120"/>
            </w:pPr>
          </w:p>
        </w:tc>
      </w:tr>
      <w:tr w:rsidR="00757950" w:rsidRPr="00F5017A" w:rsidTr="007229DD">
        <w:trPr>
          <w:trHeight w:val="1013"/>
        </w:trPr>
        <w:tc>
          <w:tcPr>
            <w:tcW w:w="3085" w:type="dxa"/>
            <w:vMerge w:val="restart"/>
          </w:tcPr>
          <w:p w:rsidR="00757950" w:rsidRPr="00F5017A" w:rsidRDefault="00757950" w:rsidP="007229DD">
            <w:pPr>
              <w:pStyle w:val="Default"/>
              <w:rPr>
                <w:sz w:val="22"/>
                <w:szCs w:val="22"/>
              </w:rPr>
            </w:pPr>
            <w:r w:rsidRPr="00F5017A">
              <w:rPr>
                <w:sz w:val="22"/>
                <w:szCs w:val="22"/>
              </w:rPr>
              <w:lastRenderedPageBreak/>
              <w:t xml:space="preserve">8.3. Train laboratory staff on laboratory methods for quality check of formulation of PPPs </w:t>
            </w:r>
          </w:p>
          <w:p w:rsidR="00757950" w:rsidRPr="00F5017A" w:rsidRDefault="00757950" w:rsidP="007229DD">
            <w:pPr>
              <w:pStyle w:val="Body"/>
              <w:spacing w:after="0"/>
              <w:rPr>
                <w:rFonts w:ascii="Times New Roman" w:hAnsi="Times New Roman"/>
                <w:sz w:val="22"/>
                <w:szCs w:val="22"/>
                <w:lang w:val="en-GB"/>
              </w:rPr>
            </w:pPr>
          </w:p>
        </w:tc>
        <w:tc>
          <w:tcPr>
            <w:tcW w:w="2501" w:type="dxa"/>
            <w:gridSpan w:val="2"/>
          </w:tcPr>
          <w:p w:rsidR="00757950" w:rsidRPr="00F5017A" w:rsidRDefault="00757950" w:rsidP="007229DD">
            <w:r w:rsidRPr="00F5017A">
              <w:t>8.3.1 Development of procedures’ manual and trainings</w:t>
            </w:r>
          </w:p>
        </w:tc>
        <w:tc>
          <w:tcPr>
            <w:tcW w:w="3543" w:type="dxa"/>
          </w:tcPr>
          <w:p w:rsidR="00757950" w:rsidRPr="00F5017A" w:rsidRDefault="00757950" w:rsidP="007229DD">
            <w:pPr>
              <w:pStyle w:val="Default"/>
              <w:spacing w:after="60"/>
              <w:rPr>
                <w:sz w:val="22"/>
                <w:szCs w:val="22"/>
              </w:rPr>
            </w:pPr>
            <w:r w:rsidRPr="00F5017A">
              <w:rPr>
                <w:sz w:val="22"/>
                <w:szCs w:val="22"/>
              </w:rPr>
              <w:t xml:space="preserve">8.3.1.1) Development of a manual with different analytical methodologies </w:t>
            </w:r>
          </w:p>
          <w:p w:rsidR="00757950" w:rsidRPr="00F5017A" w:rsidRDefault="00757950" w:rsidP="007229DD">
            <w:pPr>
              <w:pStyle w:val="Default"/>
              <w:spacing w:after="60"/>
              <w:rPr>
                <w:sz w:val="22"/>
                <w:szCs w:val="22"/>
              </w:rPr>
            </w:pPr>
            <w:r w:rsidRPr="00F5017A">
              <w:rPr>
                <w:sz w:val="22"/>
                <w:szCs w:val="22"/>
              </w:rPr>
              <w:t xml:space="preserve">8.3.1.2) Theoretical and on-site practical training on laboratory methods is carried out </w:t>
            </w:r>
          </w:p>
          <w:p w:rsidR="00757950" w:rsidRPr="00F5017A" w:rsidRDefault="00757950" w:rsidP="007229DD">
            <w:pPr>
              <w:pStyle w:val="Body"/>
              <w:spacing w:after="60"/>
              <w:rPr>
                <w:rFonts w:ascii="Times New Roman" w:hAnsi="Times New Roman"/>
                <w:sz w:val="22"/>
                <w:szCs w:val="22"/>
                <w:u w:color="000000"/>
                <w:lang w:val="en-GB"/>
              </w:rPr>
            </w:pPr>
          </w:p>
        </w:tc>
        <w:tc>
          <w:tcPr>
            <w:tcW w:w="2977" w:type="dxa"/>
            <w:gridSpan w:val="2"/>
            <w:vMerge w:val="restart"/>
          </w:tcPr>
          <w:p w:rsidR="00757950" w:rsidRPr="00F5017A" w:rsidRDefault="00757950" w:rsidP="007229DD">
            <w:r w:rsidRPr="00F5017A">
              <w:t xml:space="preserve">Annexes to Mission reports </w:t>
            </w:r>
          </w:p>
          <w:p w:rsidR="00757950" w:rsidRDefault="00757950" w:rsidP="007229DD">
            <w:r w:rsidRPr="00F5017A">
              <w:t>Annexes to Quarterly reports</w:t>
            </w:r>
          </w:p>
          <w:p w:rsidR="00757950" w:rsidRDefault="00757950" w:rsidP="007229DD">
            <w:r>
              <w:t>Laboratory Quality Manuals</w:t>
            </w:r>
          </w:p>
          <w:p w:rsidR="00757950" w:rsidRPr="00F5017A" w:rsidRDefault="00757950" w:rsidP="007229DD">
            <w:r w:rsidRPr="00F5017A">
              <w:t>Training courses certificates</w:t>
            </w:r>
          </w:p>
          <w:p w:rsidR="00757950" w:rsidRPr="00F5017A" w:rsidRDefault="00757950" w:rsidP="007229DD">
            <w:r w:rsidRPr="00F5017A">
              <w:t>Courses Evaluation sheets</w:t>
            </w:r>
          </w:p>
          <w:p w:rsidR="00757950" w:rsidRPr="00F5017A" w:rsidRDefault="00757950" w:rsidP="007229DD">
            <w:r>
              <w:t>Study visit report</w:t>
            </w:r>
          </w:p>
        </w:tc>
        <w:tc>
          <w:tcPr>
            <w:tcW w:w="2036" w:type="dxa"/>
            <w:vMerge w:val="restart"/>
          </w:tcPr>
          <w:p w:rsidR="00757950" w:rsidRDefault="00757950" w:rsidP="007229DD">
            <w:pPr>
              <w:spacing w:after="120"/>
            </w:pPr>
            <w:r>
              <w:t>Availability of staff from all laboratories beneficiaries institutions</w:t>
            </w:r>
          </w:p>
          <w:p w:rsidR="00757950" w:rsidRPr="00F5017A" w:rsidRDefault="00757950" w:rsidP="007229DD">
            <w:pPr>
              <w:spacing w:after="120"/>
            </w:pPr>
            <w:r>
              <w:t>Availability of  instruments for PPPs analyses</w:t>
            </w:r>
          </w:p>
        </w:tc>
      </w:tr>
      <w:tr w:rsidR="00757950" w:rsidRPr="00F5017A" w:rsidTr="007229DD">
        <w:trPr>
          <w:trHeight w:val="1012"/>
        </w:trPr>
        <w:tc>
          <w:tcPr>
            <w:tcW w:w="3085" w:type="dxa"/>
            <w:vMerge/>
          </w:tcPr>
          <w:p w:rsidR="00757950" w:rsidRPr="00F5017A" w:rsidRDefault="00757950" w:rsidP="007229DD">
            <w:pPr>
              <w:pStyle w:val="Default"/>
              <w:rPr>
                <w:sz w:val="22"/>
                <w:szCs w:val="22"/>
              </w:rPr>
            </w:pPr>
          </w:p>
        </w:tc>
        <w:tc>
          <w:tcPr>
            <w:tcW w:w="2501" w:type="dxa"/>
            <w:gridSpan w:val="2"/>
          </w:tcPr>
          <w:p w:rsidR="00757950" w:rsidRPr="00F5017A" w:rsidRDefault="00757950" w:rsidP="007229DD">
            <w:r w:rsidRPr="00F5017A">
              <w:t>8.3.2 Study visit on laboratory analysis of PPP</w:t>
            </w:r>
          </w:p>
        </w:tc>
        <w:tc>
          <w:tcPr>
            <w:tcW w:w="3543" w:type="dxa"/>
          </w:tcPr>
          <w:p w:rsidR="00757950" w:rsidRPr="00F5017A" w:rsidRDefault="00757950" w:rsidP="007229DD">
            <w:pPr>
              <w:pStyle w:val="Default"/>
              <w:spacing w:after="60"/>
              <w:rPr>
                <w:sz w:val="22"/>
                <w:szCs w:val="22"/>
              </w:rPr>
            </w:pPr>
            <w:r w:rsidRPr="00BD368B">
              <w:rPr>
                <w:sz w:val="22"/>
                <w:szCs w:val="22"/>
              </w:rPr>
              <w:t xml:space="preserve">8.3.2) A study visit </w:t>
            </w:r>
            <w:r>
              <w:rPr>
                <w:sz w:val="22"/>
                <w:szCs w:val="22"/>
              </w:rPr>
              <w:t>(four</w:t>
            </w:r>
            <w:r w:rsidRPr="00BF7356">
              <w:rPr>
                <w:sz w:val="22"/>
                <w:szCs w:val="22"/>
              </w:rPr>
              <w:t xml:space="preserve"> staff)</w:t>
            </w:r>
            <w:r>
              <w:rPr>
                <w:sz w:val="22"/>
                <w:szCs w:val="22"/>
              </w:rPr>
              <w:t xml:space="preserve"> for a </w:t>
            </w:r>
            <w:r w:rsidRPr="00BD368B">
              <w:rPr>
                <w:sz w:val="22"/>
                <w:szCs w:val="22"/>
              </w:rPr>
              <w:t>training in MS laboratory on selected methods is performed</w:t>
            </w:r>
          </w:p>
        </w:tc>
        <w:tc>
          <w:tcPr>
            <w:tcW w:w="2977" w:type="dxa"/>
            <w:gridSpan w:val="2"/>
            <w:vMerge/>
          </w:tcPr>
          <w:p w:rsidR="00757950" w:rsidRPr="00F5017A" w:rsidRDefault="00757950" w:rsidP="007229DD"/>
        </w:tc>
        <w:tc>
          <w:tcPr>
            <w:tcW w:w="2036" w:type="dxa"/>
            <w:vMerge/>
          </w:tcPr>
          <w:p w:rsidR="00757950" w:rsidRPr="00F5017A" w:rsidRDefault="00757950" w:rsidP="007229DD">
            <w:pPr>
              <w:spacing w:after="120"/>
            </w:pPr>
          </w:p>
        </w:tc>
      </w:tr>
      <w:tr w:rsidR="00757950" w:rsidRPr="00F5017A" w:rsidTr="007229DD">
        <w:tc>
          <w:tcPr>
            <w:tcW w:w="3085" w:type="dxa"/>
          </w:tcPr>
          <w:p w:rsidR="00757950" w:rsidRPr="00F5017A" w:rsidRDefault="00757950" w:rsidP="007229DD">
            <w:pPr>
              <w:pStyle w:val="Default"/>
              <w:rPr>
                <w:sz w:val="22"/>
                <w:szCs w:val="22"/>
              </w:rPr>
            </w:pPr>
            <w:r w:rsidRPr="00F5017A">
              <w:rPr>
                <w:sz w:val="22"/>
                <w:szCs w:val="22"/>
              </w:rPr>
              <w:t xml:space="preserve">8.4. Train inspectors on control of use and quality of PPPs </w:t>
            </w:r>
          </w:p>
          <w:p w:rsidR="00757950" w:rsidRPr="00F5017A" w:rsidRDefault="00757950" w:rsidP="007229DD">
            <w:pPr>
              <w:pStyle w:val="Body"/>
              <w:spacing w:after="0"/>
              <w:rPr>
                <w:rFonts w:ascii="Times New Roman" w:hAnsi="Times New Roman"/>
                <w:sz w:val="22"/>
                <w:szCs w:val="22"/>
                <w:lang w:val="en-GB"/>
              </w:rPr>
            </w:pPr>
          </w:p>
        </w:tc>
        <w:tc>
          <w:tcPr>
            <w:tcW w:w="2501" w:type="dxa"/>
            <w:gridSpan w:val="2"/>
          </w:tcPr>
          <w:p w:rsidR="00757950" w:rsidRPr="00F5017A" w:rsidRDefault="00757950" w:rsidP="007229DD"/>
        </w:tc>
        <w:tc>
          <w:tcPr>
            <w:tcW w:w="3543" w:type="dxa"/>
          </w:tcPr>
          <w:p w:rsidR="00757950" w:rsidRPr="00F5017A" w:rsidRDefault="00757950" w:rsidP="007229DD">
            <w:pPr>
              <w:pStyle w:val="Default"/>
              <w:spacing w:after="60"/>
              <w:rPr>
                <w:sz w:val="22"/>
                <w:szCs w:val="22"/>
              </w:rPr>
            </w:pPr>
            <w:r w:rsidRPr="00F5017A">
              <w:rPr>
                <w:sz w:val="22"/>
                <w:szCs w:val="22"/>
              </w:rPr>
              <w:t xml:space="preserve">8.4) Inspectors are trained on implementing sampling procedures and control of field registers of PPP </w:t>
            </w:r>
          </w:p>
          <w:p w:rsidR="00757950" w:rsidRPr="00F5017A" w:rsidRDefault="00757950" w:rsidP="007229DD">
            <w:pPr>
              <w:pStyle w:val="Body"/>
              <w:spacing w:after="60"/>
              <w:rPr>
                <w:rFonts w:ascii="Times New Roman" w:hAnsi="Times New Roman"/>
                <w:sz w:val="22"/>
                <w:szCs w:val="22"/>
                <w:u w:color="000000"/>
                <w:lang w:val="en-GB"/>
              </w:rPr>
            </w:pPr>
          </w:p>
        </w:tc>
        <w:tc>
          <w:tcPr>
            <w:tcW w:w="2977" w:type="dxa"/>
            <w:gridSpan w:val="2"/>
          </w:tcPr>
          <w:p w:rsidR="00757950" w:rsidRPr="00F5017A" w:rsidRDefault="00757950" w:rsidP="007229DD">
            <w:r w:rsidRPr="00F5017A">
              <w:t xml:space="preserve">Annexes to Mission reports </w:t>
            </w:r>
          </w:p>
          <w:p w:rsidR="00757950" w:rsidRDefault="00757950" w:rsidP="007229DD">
            <w:r w:rsidRPr="00F5017A">
              <w:t>Annexes to Quarterly reports</w:t>
            </w:r>
          </w:p>
          <w:p w:rsidR="00757950" w:rsidRPr="00F5017A" w:rsidRDefault="00757950" w:rsidP="007229DD">
            <w:r w:rsidRPr="00F5017A">
              <w:t>Training courses certificates</w:t>
            </w:r>
          </w:p>
          <w:p w:rsidR="00757950" w:rsidRPr="00F5017A" w:rsidRDefault="00757950" w:rsidP="007229DD">
            <w:r w:rsidRPr="00F5017A">
              <w:t>Courses Evaluation sheets</w:t>
            </w:r>
          </w:p>
          <w:p w:rsidR="00757950" w:rsidRPr="00F5017A" w:rsidRDefault="00757950" w:rsidP="007229DD"/>
        </w:tc>
        <w:tc>
          <w:tcPr>
            <w:tcW w:w="2036" w:type="dxa"/>
          </w:tcPr>
          <w:p w:rsidR="00757950" w:rsidRPr="00F5017A" w:rsidRDefault="00757950" w:rsidP="007229DD">
            <w:pPr>
              <w:spacing w:after="120"/>
            </w:pPr>
            <w:r>
              <w:t xml:space="preserve">Availability of operators for inspection simulations </w:t>
            </w:r>
          </w:p>
        </w:tc>
      </w:tr>
    </w:tbl>
    <w:p w:rsidR="00757950" w:rsidRDefault="00757950" w:rsidP="00757950">
      <w:pPr>
        <w:ind w:right="254"/>
      </w:pPr>
    </w:p>
    <w:p w:rsidR="00E37649" w:rsidRDefault="00E37649"/>
    <w:sectPr w:rsidR="00E37649" w:rsidSect="00757950">
      <w:pgSz w:w="16838" w:h="11906" w:orient="landscape"/>
      <w:pgMar w:top="113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F6945"/>
    <w:multiLevelType w:val="multilevel"/>
    <w:tmpl w:val="CC74235A"/>
    <w:lvl w:ilvl="0">
      <w:start w:val="1"/>
      <w:numFmt w:val="decimal"/>
      <w:lvlText w:val="%1."/>
      <w:lvlJc w:val="left"/>
      <w:pPr>
        <w:ind w:left="720" w:hanging="360"/>
      </w:pPr>
      <w:rPr>
        <w:rFonts w:cs="Times New Roman"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B416F0"/>
    <w:multiLevelType w:val="multilevel"/>
    <w:tmpl w:val="8FEA9A6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67E755DB"/>
    <w:multiLevelType w:val="hybridMultilevel"/>
    <w:tmpl w:val="68BC7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50"/>
    <w:rsid w:val="00757950"/>
    <w:rsid w:val="00B44BC4"/>
    <w:rsid w:val="00E3764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5F6CD-0CD9-49EE-ABF3-DA2F1475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7950"/>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customStyle="1" w:styleId="Body">
    <w:name w:val="Body"/>
    <w:rsid w:val="00757950"/>
    <w:pPr>
      <w:spacing w:after="240" w:line="240" w:lineRule="auto"/>
    </w:pPr>
    <w:rPr>
      <w:rFonts w:ascii="Helvetica" w:eastAsia="ヒラギノ角ゴ Pro W3" w:hAnsi="Helvetica" w:cs="Times New Roman"/>
      <w:color w:val="000000"/>
      <w:sz w:val="24"/>
      <w:szCs w:val="20"/>
      <w:lang w:val="it-IT" w:eastAsia="it-IT"/>
    </w:rPr>
  </w:style>
  <w:style w:type="paragraph" w:styleId="CommentText">
    <w:name w:val="annotation text"/>
    <w:basedOn w:val="Normal"/>
    <w:link w:val="CommentTextChar1"/>
    <w:semiHidden/>
    <w:rsid w:val="00757950"/>
    <w:pPr>
      <w:spacing w:after="0" w:line="240" w:lineRule="auto"/>
    </w:pPr>
    <w:rPr>
      <w:rFonts w:ascii="Times New Roman" w:eastAsia="Times New Roman" w:hAnsi="Times New Roman" w:cs="Times New Roman"/>
      <w:sz w:val="20"/>
      <w:szCs w:val="20"/>
      <w:lang w:val="tr-TR" w:eastAsia="tr-TR"/>
    </w:rPr>
  </w:style>
  <w:style w:type="character" w:customStyle="1" w:styleId="CommentTextChar">
    <w:name w:val="Comment Text Char"/>
    <w:basedOn w:val="DefaultParagraphFont"/>
    <w:uiPriority w:val="99"/>
    <w:semiHidden/>
    <w:rsid w:val="00757950"/>
    <w:rPr>
      <w:sz w:val="20"/>
      <w:szCs w:val="20"/>
    </w:rPr>
  </w:style>
  <w:style w:type="character" w:customStyle="1" w:styleId="CommentTextChar1">
    <w:name w:val="Comment Text Char1"/>
    <w:link w:val="CommentText"/>
    <w:semiHidden/>
    <w:rsid w:val="00757950"/>
    <w:rPr>
      <w:rFonts w:ascii="Times New Roman" w:eastAsia="Times New Roman" w:hAnsi="Times New Roman"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2015-07-10T10:52:00Z</dcterms:created>
  <dcterms:modified xsi:type="dcterms:W3CDTF">2015-07-10T10:58:00Z</dcterms:modified>
</cp:coreProperties>
</file>